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>Instrucciones:</w:t>
      </w:r>
    </w:p>
    <w:p>
      <w:pPr>
        <w:rPr>
          <w:rFonts w:ascii="Arial" w:hAnsi="Arial" w:cs="Arial"/>
          <w:b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  <w:t>Una vez que haya leído en el anexo del formato, las secciones B, C, y D de este documento, llenar el formato de la sección A.</w:t>
      </w:r>
    </w:p>
    <w:p>
      <w:pPr>
        <w:rPr>
          <w:rFonts w:ascii="Arial" w:hAnsi="Arial" w:cs="Arial"/>
          <w:b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Arial" w:hAnsi="Arial" w:cs="Arial"/>
          <w:b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  <w:t xml:space="preserve">Se requiere que presente el formato 600-AC-FO.074 </w:t>
      </w:r>
      <w:r>
        <w:rPr>
          <w:rFonts w:ascii="Arial" w:hAnsi="Arial" w:cs="Arial"/>
          <w:b/>
          <w:i/>
          <w:color w:val="000000" w:themeColor="text1"/>
          <w:sz w:val="18"/>
          <w:szCs w:val="18"/>
          <w:u w:val="single"/>
          <w:lang w:val="es-MX" w:eastAsia="es-MX"/>
          <w14:textFill>
            <w14:solidFill>
              <w14:schemeClr w14:val="tx1"/>
            </w14:solidFill>
          </w14:textFill>
        </w:rPr>
        <w:t>para cada Material de Referencia Certificado (MRC) de la SECCIÓN A</w:t>
      </w:r>
      <w:r>
        <w:rPr>
          <w:rFonts w:ascii="Arial" w:hAnsi="Arial" w:cs="Arial"/>
          <w:b/>
          <w:i/>
          <w:color w:val="000000" w:themeColor="text1"/>
          <w:sz w:val="18"/>
          <w:szCs w:val="18"/>
          <w:highlight w:val="lightGray"/>
          <w:u w:val="single"/>
          <w:lang w:val="es-MX" w:eastAsia="es-MX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Arial" w:hAnsi="Arial" w:cs="Arial"/>
          <w:b/>
          <w:i/>
          <w:color w:val="000000" w:themeColor="text1"/>
          <w:sz w:val="18"/>
          <w:szCs w:val="18"/>
          <w:highlight w:val="green"/>
          <w:u w:val="single"/>
          <w:lang w:val="es-MX" w:eastAsia="es-MX"/>
          <w14:textFill>
            <w14:solidFill>
              <w14:schemeClr w14:val="tx1"/>
            </w14:solidFill>
          </w14:textFill>
        </w:rPr>
        <w:t>así como los documentos mencionados en A5</w:t>
      </w:r>
      <w:r>
        <w:rPr>
          <w:rFonts w:ascii="Arial" w:hAnsi="Arial" w:cs="Arial"/>
          <w:b/>
          <w:color w:val="000000" w:themeColor="text1"/>
          <w:sz w:val="18"/>
          <w:szCs w:val="18"/>
          <w:highlight w:val="green"/>
          <w:lang w:val="es-MX" w:eastAsia="es-MX"/>
          <w14:textFill>
            <w14:solidFill>
              <w14:schemeClr w14:val="tx1"/>
            </w14:solidFill>
          </w14:textFill>
        </w:rPr>
        <w:t>.</w:t>
      </w:r>
    </w:p>
    <w:p>
      <w:pPr>
        <w:pStyle w:val="20"/>
        <w:ind w:left="360"/>
        <w:jc w:val="center"/>
        <w:rPr>
          <w:rFonts w:ascii="Arial" w:hAnsi="Arial" w:cs="Arial"/>
          <w:b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tabs>
          <w:tab w:val="left" w:pos="8610"/>
        </w:tabs>
        <w:rPr>
          <w:rFonts w:ascii="Arial" w:hAnsi="Arial" w:cs="Arial"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pStyle w:val="20"/>
        <w:ind w:left="0"/>
        <w:jc w:val="center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>SECCIÓN A</w:t>
      </w:r>
    </w:p>
    <w:p>
      <w:pPr>
        <w:pStyle w:val="20"/>
        <w:ind w:left="0"/>
        <w:jc w:val="center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 xml:space="preserve">FORMATO 600-AC-FO.074. </w:t>
      </w:r>
    </w:p>
    <w:p>
      <w:pPr>
        <w:pStyle w:val="20"/>
        <w:ind w:left="0"/>
        <w:jc w:val="center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>INFORMACIÓN DEL MRC PARA LA SOLICITUD DE PRECOTIZACIÓN DEL SDT</w:t>
      </w:r>
    </w:p>
    <w:p>
      <w:pPr>
        <w:rPr>
          <w:rFonts w:ascii="Arial" w:hAnsi="Arial" w:cs="Arial"/>
          <w:b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tabs>
          <w:tab w:val="left" w:pos="8610"/>
        </w:tabs>
        <w:rPr>
          <w:rFonts w:ascii="Arial" w:hAnsi="Arial" w:cs="Arial"/>
          <w:b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  <w:t xml:space="preserve">A1. Información del cliente:  </w:t>
      </w:r>
    </w:p>
    <w:tbl>
      <w:tblPr>
        <w:tblStyle w:val="17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shd w:val="clear" w:color="auto" w:fill="D8D8D8" w:themeFill="background1" w:themeFillShade="D9"/>
          </w:tcPr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Fecha:</w:t>
            </w:r>
          </w:p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tcBorders>
              <w:top w:val="single" w:color="auto" w:sz="4" w:space="0"/>
            </w:tcBorders>
          </w:tcPr>
          <w:p>
            <w:pPr>
              <w:rPr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shd w:val="clear" w:color="auto" w:fill="D8D8D8" w:themeFill="background1" w:themeFillShade="D9"/>
          </w:tcPr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Nombre del representante:</w:t>
            </w:r>
          </w:p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095" w:type="dxa"/>
          </w:tcPr>
          <w:p>
            <w:pPr>
              <w:rPr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shd w:val="clear" w:color="auto" w:fill="D8D8D8" w:themeFill="background1" w:themeFillShade="D9"/>
          </w:tcPr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Nombre de la empresa, institución:</w:t>
            </w:r>
          </w:p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</w:tcPr>
          <w:p>
            <w:pPr>
              <w:rPr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shd w:val="clear" w:color="auto" w:fill="D8D8D8" w:themeFill="background1" w:themeFillShade="D9"/>
          </w:tcPr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Puesto:</w:t>
            </w:r>
          </w:p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</w:tcPr>
          <w:p>
            <w:pPr>
              <w:rPr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shd w:val="clear" w:color="auto" w:fill="D8D8D8" w:themeFill="background1" w:themeFillShade="D9"/>
          </w:tcPr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Teléfono: </w:t>
            </w:r>
          </w:p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</w:tcPr>
          <w:p>
            <w:pPr>
              <w:rPr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shd w:val="clear" w:color="auto" w:fill="D8D8D8" w:themeFill="background1" w:themeFillShade="D9"/>
          </w:tcPr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Correo electrónico:</w:t>
            </w:r>
          </w:p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</w:tcPr>
          <w:p>
            <w:pPr>
              <w:rPr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tabs>
          <w:tab w:val="left" w:pos="8610"/>
        </w:tabs>
        <w:rPr>
          <w:rFonts w:ascii="Arial" w:hAnsi="Arial" w:cs="Arial"/>
          <w:b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  <w:t>A2. Información del Material de Referencia Certificado a dictaminar:</w:t>
      </w:r>
    </w:p>
    <w:tbl>
      <w:tblPr>
        <w:tblStyle w:val="17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23" w:type="dxa"/>
            <w:shd w:val="clear" w:color="auto" w:fill="D8D8D8" w:themeFill="background1" w:themeFillShade="D9"/>
          </w:tcPr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Nombre del MRC:</w:t>
            </w:r>
          </w:p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</w:tcPr>
          <w:p>
            <w:pPr>
              <w:pStyle w:val="16"/>
              <w:spacing w:after="0"/>
              <w:rPr>
                <w:color w:val="000000" w:themeColor="text1"/>
                <w:sz w:val="22"/>
                <w:szCs w:val="22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shd w:val="clear" w:color="auto" w:fill="D8D8D8" w:themeFill="background1" w:themeFillShade="D9"/>
          </w:tcPr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Marca comercial o nombre del productor:</w:t>
            </w:r>
          </w:p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</w:tcPr>
          <w:p>
            <w:pPr>
              <w:pStyle w:val="16"/>
              <w:spacing w:after="0"/>
              <w:rPr>
                <w:color w:val="000000" w:themeColor="text1"/>
                <w:sz w:val="22"/>
                <w:szCs w:val="22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shd w:val="clear" w:color="auto" w:fill="D8D8D8" w:themeFill="background1" w:themeFillShade="D9"/>
          </w:tcPr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Número de catálogo o clave del MRC:</w:t>
            </w:r>
          </w:p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</w:tcPr>
          <w:p>
            <w:pPr>
              <w:pStyle w:val="16"/>
              <w:spacing w:after="0"/>
              <w:rPr>
                <w:color w:val="000000" w:themeColor="text1"/>
                <w:sz w:val="22"/>
                <w:szCs w:val="22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shd w:val="clear" w:color="auto" w:fill="D8D8D8" w:themeFill="background1" w:themeFillShade="D9"/>
          </w:tcPr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No. Lote del MRC:</w:t>
            </w:r>
          </w:p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</w:tcPr>
          <w:p>
            <w:pPr>
              <w:pStyle w:val="16"/>
              <w:spacing w:after="0"/>
              <w:rPr>
                <w:color w:val="000000" w:themeColor="text1"/>
                <w:sz w:val="22"/>
                <w:szCs w:val="22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shd w:val="clear" w:color="auto" w:fill="D8D8D8" w:themeFill="background1" w:themeFillShade="D9"/>
          </w:tcPr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Mensurando:</w:t>
            </w:r>
          </w:p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</w:tcPr>
          <w:p>
            <w:pPr>
              <w:pStyle w:val="16"/>
              <w:spacing w:after="0"/>
              <w:rPr>
                <w:color w:val="000000" w:themeColor="text1"/>
                <w:sz w:val="22"/>
                <w:szCs w:val="22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shd w:val="clear" w:color="auto" w:fill="D8D8D8" w:themeFill="background1" w:themeFillShade="D9"/>
          </w:tcPr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Incertidumbre:</w:t>
            </w:r>
          </w:p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</w:tcPr>
          <w:p>
            <w:pPr>
              <w:pStyle w:val="16"/>
              <w:spacing w:after="0"/>
              <w:rPr>
                <w:color w:val="000000" w:themeColor="text1"/>
                <w:sz w:val="22"/>
                <w:szCs w:val="22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shd w:val="clear" w:color="auto" w:fill="D8D8D8" w:themeFill="background1" w:themeFillShade="D9"/>
          </w:tcPr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Vigencia del valor certificado (caducidad):</w:t>
            </w:r>
          </w:p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6" w:type="dxa"/>
          </w:tcPr>
          <w:p>
            <w:pPr>
              <w:pStyle w:val="16"/>
              <w:spacing w:after="0"/>
              <w:rPr>
                <w:color w:val="000000" w:themeColor="text1"/>
                <w:sz w:val="22"/>
                <w:szCs w:val="22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shd w:val="clear" w:color="auto" w:fill="D8D8D8" w:themeFill="background1" w:themeFillShade="D9"/>
          </w:tcPr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Número de unidades (Frascos o botellas) e identificación, respaldados por su informe de análisis o certificado y la identificación de los mismos (contenido).</w:t>
            </w:r>
          </w:p>
        </w:tc>
        <w:tc>
          <w:tcPr>
            <w:tcW w:w="5386" w:type="dxa"/>
          </w:tcPr>
          <w:p>
            <w:pPr>
              <w:pStyle w:val="16"/>
              <w:spacing w:after="0"/>
              <w:rPr>
                <w:color w:val="000000" w:themeColor="text1"/>
                <w:sz w:val="22"/>
                <w:szCs w:val="22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b/>
          <w:color w:val="000000" w:themeColor="text1"/>
          <w:sz w:val="22"/>
          <w:szCs w:val="22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spacing w:after="160" w:line="259" w:lineRule="auto"/>
        <w:rPr>
          <w:rFonts w:ascii="Arial" w:hAnsi="Arial" w:cs="Arial"/>
          <w:b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8610"/>
        </w:tabs>
        <w:rPr>
          <w:rFonts w:ascii="Arial" w:hAnsi="Arial" w:cs="Arial"/>
          <w:b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  <w:t>A3. Información sobre la aplicación del MRC a dictaminar:</w:t>
      </w:r>
    </w:p>
    <w:tbl>
      <w:tblPr>
        <w:tblStyle w:val="4"/>
        <w:tblW w:w="9214" w:type="dxa"/>
        <w:tblInd w:w="-5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62"/>
        <w:gridCol w:w="425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8" w:hRule="atLeast"/>
        </w:trPr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Norma Oficial Mexicana para la evaluación de la conformidad:</w:t>
            </w:r>
          </w:p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Estándar u otra,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donde se indique el método de aplicación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  <w14:textFill>
                  <w14:solidFill>
                    <w14:schemeClr w14:val="tx1"/>
                  </w14:solidFill>
                </w14:textFill>
              </w:rPr>
              <w:t>de la sustancia a dictaminar, conforme a la Ley de la Infraestructura de la calidad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2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rPr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Uso del MRC. Marque la opción(es) en las que emplea el MRC: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Calibrador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Control de calidad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Validación de método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Otro uso, marque la opción(es) en las que emplea el MRC:</w:t>
            </w:r>
          </w:p>
          <w:p>
            <w:pPr>
              <w:rPr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  <w14:textFill>
                  <w14:solidFill>
                    <w14:schemeClr w14:val="tx1"/>
                  </w14:solidFill>
                </w14:textFill>
              </w:rPr>
              <w:t>Método de medición para el cual se utilizará el MRC a dictaminar.</w:t>
            </w:r>
          </w:p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autoSpaceDE w:val="0"/>
              <w:autoSpaceDN w:val="0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  <w14:textFill>
                  <w14:solidFill>
                    <w14:schemeClr w14:val="tx1"/>
                  </w14:solidFill>
                </w14:textFill>
              </w:rPr>
              <w:t>Técnica analítica en la cual se utilizará el MRC.</w:t>
            </w:r>
          </w:p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b/>
          <w:color w:val="000000" w:themeColor="text1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tabs>
          <w:tab w:val="left" w:pos="8610"/>
        </w:tabs>
        <w:rPr>
          <w:rFonts w:ascii="Arial" w:hAnsi="Arial" w:cs="Arial"/>
          <w:b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  <w:t>A4. Información indispensable del MRC</w:t>
      </w:r>
      <w:r>
        <w:rPr>
          <w:rFonts w:ascii="Arial" w:hAnsi="Arial" w:cs="Arial"/>
          <w:b/>
          <w:bCs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  <w:t xml:space="preserve"> con el cual se establece la trazabilidad del MRC a dictaminar</w:t>
      </w:r>
      <w:r>
        <w:rPr>
          <w:rFonts w:ascii="Arial" w:hAnsi="Arial" w:cs="Arial"/>
          <w:b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  <w:t>:</w:t>
      </w:r>
    </w:p>
    <w:tbl>
      <w:tblPr>
        <w:tblStyle w:val="4"/>
        <w:tblW w:w="9214" w:type="dxa"/>
        <w:tblInd w:w="-5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44"/>
        <w:gridCol w:w="567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2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Nombre del MRC:</w:t>
            </w:r>
          </w:p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8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Marca comercial o nombre del productor:</w:t>
            </w:r>
          </w:p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8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Número de catálogo o clave del MRC:</w:t>
            </w:r>
          </w:p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4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No. lote del MRC:</w:t>
            </w:r>
          </w:p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4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Mensurando (unidades):</w:t>
            </w:r>
          </w:p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4" w:hRule="atLeast"/>
        </w:trPr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CMC de la KCDB al cual se establece la trazabilidad. (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Seleccionar de la tabla mostrada en la Sección E) 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Arial" w:hAnsi="Arial" w:cs="Arial"/>
          <w:b/>
          <w:color w:val="000000" w:themeColor="text1"/>
          <w:sz w:val="28"/>
          <w:szCs w:val="28"/>
          <w:lang w:val="es-MX"/>
          <w14:textFill>
            <w14:solidFill>
              <w14:schemeClr w14:val="tx1"/>
            </w14:solidFill>
          </w14:textFill>
        </w:rPr>
      </w:pPr>
    </w:p>
    <w:p>
      <w:pPr>
        <w:rPr>
          <w:rFonts w:ascii="Arial" w:hAnsi="Arial" w:cs="Arial"/>
          <w:b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18"/>
          <w:szCs w:val="18"/>
          <w:highlight w:val="yellow"/>
          <w:lang w:val="es-MX" w:eastAsia="es-MX"/>
          <w14:textFill>
            <w14:solidFill>
              <w14:schemeClr w14:val="tx1"/>
            </w14:solidFill>
          </w14:textFill>
        </w:rPr>
        <w:t>A5.</w:t>
      </w:r>
      <w:r>
        <w:rPr>
          <w:rFonts w:ascii="Arial" w:hAnsi="Arial" w:cs="Arial"/>
          <w:b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  <w:t xml:space="preserve"> DOCUMENTOS INDISPENSABLES SOLICITADOS AL CLIENTE: </w:t>
      </w:r>
    </w:p>
    <w:tbl>
      <w:tblPr>
        <w:tblStyle w:val="17"/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shd w:val="clear" w:color="auto" w:fill="D8D8D8" w:themeFill="background1" w:themeFillShade="D9"/>
          </w:tcPr>
          <w:p>
            <w:pPr>
              <w:tabs>
                <w:tab w:val="left" w:pos="8610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Documento solicitado</w:t>
            </w:r>
          </w:p>
          <w:p>
            <w:pPr>
              <w:tabs>
                <w:tab w:val="left" w:pos="8610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shd w:val="clear" w:color="auto" w:fill="D8D8D8" w:themeFill="background1" w:themeFillShade="D9"/>
          </w:tcPr>
          <w:p>
            <w:pPr>
              <w:tabs>
                <w:tab w:val="left" w:pos="8610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Capture la identificación del archivo pdf, que está proporcionado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tabs>
                <w:tab w:val="left" w:pos="8610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Certificado del material de referencia</w:t>
            </w:r>
          </w:p>
          <w:p>
            <w:pPr>
              <w:tabs>
                <w:tab w:val="left" w:pos="8610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</w:tcPr>
          <w:p>
            <w:pPr>
              <w:tabs>
                <w:tab w:val="left" w:pos="8610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tabs>
                <w:tab w:val="left" w:pos="8610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Evidencia de compra del MRC, proporcione la factura</w:t>
            </w:r>
          </w:p>
          <w:p>
            <w:pPr>
              <w:tabs>
                <w:tab w:val="left" w:pos="8610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</w:tcPr>
          <w:p>
            <w:pPr>
              <w:tabs>
                <w:tab w:val="left" w:pos="8610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tabs>
                <w:tab w:val="left" w:pos="8610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Respuesta(s) del CENAM (Coordinación Venta MRC), donde indique que el CENAM no cuenta con el(los) MRC(s),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u w:val="single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ver excepción en página 5, sección B1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  <w:tc>
          <w:tcPr>
            <w:tcW w:w="4111" w:type="dxa"/>
          </w:tcPr>
          <w:p>
            <w:pPr>
              <w:tabs>
                <w:tab w:val="left" w:pos="8610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</w:tcPr>
          <w:p>
            <w:pPr>
              <w:tabs>
                <w:tab w:val="left" w:pos="8610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Fecha de dictamen de trazabilidad realizado con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antelación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para el mismo MRC</w:t>
            </w:r>
          </w:p>
        </w:tc>
        <w:tc>
          <w:tcPr>
            <w:tcW w:w="4111" w:type="dxa"/>
          </w:tcPr>
          <w:p>
            <w:pPr>
              <w:tabs>
                <w:tab w:val="left" w:pos="8610"/>
              </w:tabs>
              <w:rPr>
                <w:rFonts w:ascii="Arial" w:hAnsi="Arial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160" w:line="259" w:lineRule="auto"/>
        <w:rPr>
          <w:rFonts w:ascii="Arial" w:hAnsi="Arial" w:cs="Arial"/>
          <w:b/>
          <w:color w:val="000000" w:themeColor="text1"/>
          <w:sz w:val="28"/>
          <w:szCs w:val="28"/>
          <w:lang w:val="es-MX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s-MX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160" w:line="259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es-MX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s-MX"/>
          <w14:textFill>
            <w14:solidFill>
              <w14:schemeClr w14:val="tx1"/>
            </w14:solidFill>
          </w14:textFill>
        </w:rPr>
        <w:t>ANEXO DEL FORMATO 600-AC-FO.074</w:t>
      </w:r>
    </w:p>
    <w:p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s-MX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MX"/>
          <w14:textFill>
            <w14:solidFill>
              <w14:schemeClr w14:val="tx1"/>
            </w14:solidFill>
          </w14:textFill>
        </w:rPr>
        <w:t xml:space="preserve">Orientación sobre el servicio de dictamen de trazabilidad hacia Patrones Nacionales o Extranjeros </w:t>
      </w:r>
    </w:p>
    <w:p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s-MX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MX"/>
          <w14:textFill>
            <w14:solidFill>
              <w14:schemeClr w14:val="tx1"/>
            </w14:solidFill>
          </w14:textFill>
        </w:rPr>
        <w:t>Materiales de Referencia Certificados (MRC)</w:t>
      </w:r>
    </w:p>
    <w:p>
      <w:pPr>
        <w:rPr>
          <w:color w:val="000000" w:themeColor="text1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pStyle w:val="15"/>
        <w:jc w:val="both"/>
        <w:rPr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>Para ofrecer un mejor servicio de dictamen de trazabilidad (SDT), se ha preparado la presente información que tiene como propósito identificar la procedencia del MRC a dictaminar.</w:t>
      </w:r>
    </w:p>
    <w:p>
      <w:pPr>
        <w:pStyle w:val="15"/>
        <w:jc w:val="both"/>
        <w:rPr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 xml:space="preserve">Esto será de utilidad para los clientes que tienen la responsabilidad de adquirir los Materiales de Referencia Certificados, en cumplimiento con los requisitos de Trazabilidad a Patrones Nacionales o Extranjeros, del artículo 101 y 102 de la Ley de la Infraestructura de la Calidad,  </w:t>
      </w:r>
      <w:r>
        <w:rPr>
          <w:i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>la Norma ISO/IEC 17025:2017 Requisitos generales para la competencia de los laboratorios de ensayo y calibración y la NMX-EC-17034-IMNC-2018 Requisitos generales para la competencia de los productores de materiales de referencia.</w:t>
      </w:r>
    </w:p>
    <w:p>
      <w:pPr>
        <w:pStyle w:val="15"/>
        <w:jc w:val="both"/>
        <w:rPr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pStyle w:val="15"/>
        <w:jc w:val="both"/>
        <w:rPr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>Se recomienda consultar las siguientes normas sobre materiales de referencia (especialmente 161 y 162):</w:t>
      </w:r>
    </w:p>
    <w:p>
      <w:pPr>
        <w:pStyle w:val="15"/>
        <w:jc w:val="both"/>
        <w:rPr>
          <w:rFonts w:ascii="Arial" w:hAnsi="Arial" w:cs="Arial"/>
          <w:b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bCs/>
          <w:color w:val="000000" w:themeColor="text1"/>
          <w:lang w:val="es-MX" w:eastAsia="es-MX"/>
          <w14:textFill>
            <w14:solidFill>
              <w14:schemeClr w14:val="tx1"/>
            </w14:solidFill>
          </w14:textFill>
        </w:rPr>
        <w:t>NMX-CH-160-IMNC-2015</w:t>
      </w:r>
      <w:r>
        <w:rPr>
          <w:rFonts w:ascii="Arial" w:hAnsi="Arial" w:cs="Arial"/>
          <w:color w:val="000000" w:themeColor="text1"/>
          <w:lang w:val="es-MX" w:eastAsia="es-MX"/>
          <w14:textFill>
            <w14:solidFill>
              <w14:schemeClr w14:val="tx1"/>
            </w14:solidFill>
          </w14:textFill>
        </w:rPr>
        <w:t>. Materiales de referencia -Términos y definiciones.</w:t>
      </w:r>
    </w:p>
    <w:p>
      <w:pPr>
        <w:pStyle w:val="20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bCs/>
          <w:color w:val="000000" w:themeColor="text1"/>
          <w:lang w:val="es-MX" w:eastAsia="es-MX"/>
          <w14:textFill>
            <w14:solidFill>
              <w14:schemeClr w14:val="tx1"/>
            </w14:solidFill>
          </w14:textFill>
        </w:rPr>
        <w:t>NMX-CH-161-IMNC-2006</w:t>
      </w:r>
      <w:r>
        <w:rPr>
          <w:rFonts w:ascii="Arial" w:hAnsi="Arial" w:cs="Arial"/>
          <w:color w:val="000000" w:themeColor="text1"/>
          <w:lang w:val="es-MX" w:eastAsia="es-MX"/>
          <w14:textFill>
            <w14:solidFill>
              <w14:schemeClr w14:val="tx1"/>
            </w14:solidFill>
          </w14:textFill>
        </w:rPr>
        <w:t>. Materiales de referencia -Contenido de certificados y etiquetas.</w:t>
      </w:r>
    </w:p>
    <w:p>
      <w:pPr>
        <w:pStyle w:val="20"/>
        <w:ind w:left="360"/>
        <w:jc w:val="both"/>
        <w:rPr>
          <w:rFonts w:ascii="Arial" w:hAnsi="Arial" w:cs="Arial"/>
          <w:color w:val="000000" w:themeColor="text1"/>
          <w:lang w:val="es-MX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lang w:val="es-MX"/>
          <w14:textFill>
            <w14:solidFill>
              <w14:schemeClr w14:val="tx1"/>
            </w14:solidFill>
          </w14:textFill>
        </w:rPr>
        <w:t xml:space="preserve">Liga: </w:t>
      </w:r>
      <w:r>
        <w:rPr>
          <w:rFonts w:ascii="Arial" w:hAnsi="Arial" w:cs="Arial"/>
          <w:i/>
          <w:iCs/>
          <w:color w:val="000000" w:themeColor="text1"/>
          <w:lang w:val="es-MX"/>
          <w14:textFill>
            <w14:solidFill>
              <w14:schemeClr w14:val="tx1"/>
            </w14:solidFill>
          </w14:textFill>
        </w:rPr>
        <w:t>https://imnctienda.myshopify.com/collections/metrologia/products/nmx-ch-161-imnc-2006</w:t>
      </w:r>
    </w:p>
    <w:p>
      <w:pPr>
        <w:pStyle w:val="20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bCs/>
          <w:color w:val="000000" w:themeColor="text1"/>
          <w:lang w:val="es-MX" w:eastAsia="es-MX"/>
          <w14:textFill>
            <w14:solidFill>
              <w14:schemeClr w14:val="tx1"/>
            </w14:solidFill>
          </w14:textFill>
        </w:rPr>
        <w:t>NMX-CH-162-IMNC-2006</w:t>
      </w:r>
      <w:r>
        <w:rPr>
          <w:rFonts w:ascii="Arial" w:hAnsi="Arial" w:cs="Arial"/>
          <w:color w:val="000000" w:themeColor="text1"/>
          <w:lang w:val="es-MX" w:eastAsia="es-MX"/>
          <w14:textFill>
            <w14:solidFill>
              <w14:schemeClr w14:val="tx1"/>
            </w14:solidFill>
          </w14:textFill>
        </w:rPr>
        <w:t>. Materiales de referencia -Calibración en química analítica y el uso de materiales de referencia certificados.</w:t>
      </w:r>
    </w:p>
    <w:p>
      <w:pPr>
        <w:pStyle w:val="20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bCs/>
          <w:color w:val="000000" w:themeColor="text1"/>
          <w:lang w:val="es-MX" w:eastAsia="es-MX"/>
          <w14:textFill>
            <w14:solidFill>
              <w14:schemeClr w14:val="tx1"/>
            </w14:solidFill>
          </w14:textFill>
        </w:rPr>
        <w:t>NMX-CH-163-IMNC-2006</w:t>
      </w:r>
      <w:r>
        <w:rPr>
          <w:rFonts w:ascii="Arial" w:hAnsi="Arial" w:cs="Arial"/>
          <w:color w:val="000000" w:themeColor="text1"/>
          <w:lang w:val="es-MX" w:eastAsia="es-MX"/>
          <w14:textFill>
            <w14:solidFill>
              <w14:schemeClr w14:val="tx1"/>
            </w14:solidFill>
          </w14:textFill>
        </w:rPr>
        <w:t>. Materiales de referencia -Uso de materiales de referencia certificados.</w:t>
      </w:r>
    </w:p>
    <w:p>
      <w:pPr>
        <w:pStyle w:val="20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bCs/>
          <w:color w:val="000000" w:themeColor="text1"/>
          <w:lang w:val="es-MX" w:eastAsia="es-MX"/>
          <w14:textFill>
            <w14:solidFill>
              <w14:schemeClr w14:val="tx1"/>
            </w14:solidFill>
          </w14:textFill>
        </w:rPr>
        <w:t>NMX-CH-165-IMNC-2008</w:t>
      </w:r>
      <w:r>
        <w:rPr>
          <w:rFonts w:ascii="Arial" w:hAnsi="Arial" w:cs="Arial"/>
          <w:color w:val="000000" w:themeColor="text1"/>
          <w:lang w:val="es-MX" w:eastAsia="es-MX"/>
          <w14:textFill>
            <w14:solidFill>
              <w14:schemeClr w14:val="tx1"/>
            </w14:solidFill>
          </w14:textFill>
        </w:rPr>
        <w:t>. Materiales de referencia -Principios generales y estadísticos para certificación.</w:t>
      </w:r>
    </w:p>
    <w:p>
      <w:pPr>
        <w:jc w:val="both"/>
        <w:rPr>
          <w:rFonts w:ascii="Arial" w:hAnsi="Arial" w:cs="Arial"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Arial" w:hAnsi="Arial" w:cs="Arial"/>
          <w:b/>
          <w:color w:val="000000" w:themeColor="text1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lang w:val="es-MX" w:eastAsia="es-MX"/>
          <w14:textFill>
            <w14:solidFill>
              <w14:schemeClr w14:val="tx1"/>
            </w14:solidFill>
          </w14:textFill>
        </w:rPr>
        <w:t>Liga en el CENAM sobre material de referencia certificados, definición y usos:</w:t>
      </w:r>
    </w:p>
    <w:p>
      <w:pPr>
        <w:tabs>
          <w:tab w:val="left" w:pos="8610"/>
        </w:tabs>
        <w:ind w:left="360"/>
        <w:jc w:val="both"/>
        <w:rPr>
          <w:rFonts w:ascii="Arial" w:hAnsi="Arial" w:cs="Arial"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"https://www.cenam.mx/materiales/defyusos.aspx" \l "Usos_de_los_materiales_de_referencia" </w:instrText>
      </w:r>
      <w:r>
        <w:fldChar w:fldCharType="separate"/>
      </w:r>
      <w:r>
        <w:rPr>
          <w:rStyle w:val="7"/>
          <w:rFonts w:ascii="Arial" w:hAnsi="Arial" w:cs="Arial"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  <w:t>https://www.cenam.mx/materiales/defyusos.aspx#Usos_de_los_materiales_de_referencia</w:t>
      </w:r>
      <w:r>
        <w:rPr>
          <w:rStyle w:val="7"/>
          <w:rFonts w:ascii="Arial" w:hAnsi="Arial" w:cs="Arial"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  <w:fldChar w:fldCharType="end"/>
      </w:r>
    </w:p>
    <w:p>
      <w:pPr>
        <w:tabs>
          <w:tab w:val="left" w:pos="8610"/>
        </w:tabs>
        <w:jc w:val="both"/>
        <w:rPr>
          <w:rFonts w:ascii="Arial" w:hAnsi="Arial" w:cs="Arial"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pStyle w:val="15"/>
        <w:jc w:val="both"/>
        <w:rPr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spacing w:after="160" w:line="259" w:lineRule="auto"/>
        <w:rPr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br w:type="page"/>
      </w:r>
    </w:p>
    <w:p>
      <w:pPr>
        <w:pStyle w:val="15"/>
        <w:jc w:val="both"/>
        <w:rPr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pStyle w:val="15"/>
        <w:jc w:val="both"/>
        <w:rPr>
          <w:b/>
          <w:bCs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>Se sugiere al cliente, que antes de solicitar el servicio de dictamen de trazabilidad:</w:t>
      </w:r>
    </w:p>
    <w:p>
      <w:pPr>
        <w:pStyle w:val="15"/>
        <w:jc w:val="both"/>
        <w:rPr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pStyle w:val="15"/>
        <w:jc w:val="both"/>
        <w:rPr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pStyle w:val="15"/>
        <w:numPr>
          <w:ilvl w:val="0"/>
          <w:numId w:val="3"/>
        </w:numPr>
        <w:jc w:val="both"/>
        <w:rPr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>Revise la información relevante proporcionada en el certificado del material de referencia e identifique el caso que aplique para:</w:t>
      </w:r>
    </w:p>
    <w:p>
      <w:pPr>
        <w:jc w:val="center"/>
        <w:rPr>
          <w:b/>
          <w:bCs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7752" w:type="dxa"/>
        <w:tblInd w:w="6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1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MRC que provienen de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Ver la sección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1" w:type="dxa"/>
          </w:tcPr>
          <w:p>
            <w:pPr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Instituto Nacional de Metrología (INM)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1" w:type="dxa"/>
          </w:tcPr>
          <w:p>
            <w:pPr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INM: CENAM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B1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1" w:type="dxa"/>
          </w:tcPr>
          <w:p>
            <w:pPr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INM: OTROS</w:t>
            </w:r>
          </w:p>
        </w:tc>
        <w:tc>
          <w:tcPr>
            <w:tcW w:w="1701" w:type="dxa"/>
          </w:tcPr>
          <w:p>
            <w:pPr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B2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1" w:type="dxa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Productores de MRC acreditados ante la norma 17034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b/>
          <w:bCs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3"/>
        </w:numPr>
        <w:rPr>
          <w:b/>
          <w:bCs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 xml:space="preserve">Considere los casos cuando </w:t>
      </w:r>
      <w:r>
        <w:rPr>
          <w:b/>
          <w:bCs/>
          <w:i/>
          <w:iCs/>
          <w:color w:val="000000" w:themeColor="text1"/>
          <w:sz w:val="24"/>
          <w:szCs w:val="24"/>
          <w:u w:val="single"/>
          <w:lang w:val="es-MX" w:eastAsia="es-MX"/>
          <w14:textFill>
            <w14:solidFill>
              <w14:schemeClr w14:val="tx1"/>
            </w14:solidFill>
          </w14:textFill>
        </w:rPr>
        <w:t>No procede</w:t>
      </w:r>
      <w:r>
        <w:rPr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 xml:space="preserve"> solicitar el servicio de dictamen de trazabilidad, debido a:</w:t>
      </w:r>
    </w:p>
    <w:p>
      <w:pPr>
        <w:rPr>
          <w:b/>
          <w:bCs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7610" w:type="dxa"/>
        <w:tblInd w:w="6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1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Casos</w:t>
            </w:r>
          </w:p>
        </w:tc>
        <w:tc>
          <w:tcPr>
            <w:tcW w:w="1559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Ver la sección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1" w:type="dxa"/>
          </w:tcPr>
          <w:p>
            <w:pPr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Tipo de documento de respaldo </w:t>
            </w:r>
          </w:p>
        </w:tc>
        <w:tc>
          <w:tcPr>
            <w:tcW w:w="1559" w:type="dxa"/>
          </w:tcPr>
          <w:p>
            <w:pPr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D1, D2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1" w:type="dxa"/>
          </w:tcPr>
          <w:p>
            <w:pP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Uso que dará al MR</w:t>
            </w:r>
          </w:p>
          <w:p>
            <w:pPr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D3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1" w:type="dxa"/>
          </w:tcPr>
          <w:p>
            <w:pP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Existencia de un DT previo en el mismo año y para el mismo MRC</w:t>
            </w:r>
          </w:p>
          <w:p>
            <w:pP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D4</w:t>
            </w:r>
          </w:p>
        </w:tc>
      </w:tr>
    </w:tbl>
    <w:p>
      <w:pPr>
        <w:pStyle w:val="15"/>
        <w:jc w:val="both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u w:val="single"/>
          <w:lang w:val="es-MX"/>
          <w14:textFill>
            <w14:solidFill>
              <w14:schemeClr w14:val="tx1"/>
            </w14:solidFill>
          </w14:textFill>
        </w:rPr>
      </w:pPr>
    </w:p>
    <w:p>
      <w:pPr>
        <w:rPr>
          <w:rFonts w:eastAsiaTheme="majorEastAsia"/>
          <w:color w:val="000000" w:themeColor="text1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pStyle w:val="20"/>
        <w:numPr>
          <w:ilvl w:val="0"/>
          <w:numId w:val="3"/>
        </w:numPr>
        <w:rPr>
          <w:rFonts w:eastAsiaTheme="majorEastAsia"/>
          <w:color w:val="000000" w:themeColor="text1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eastAsiaTheme="majorEastAsia"/>
          <w:color w:val="000000" w:themeColor="text1"/>
          <w:lang w:val="es-MX" w:eastAsia="es-MX"/>
          <w14:textFill>
            <w14:solidFill>
              <w14:schemeClr w14:val="tx1"/>
            </w14:solidFill>
          </w14:textFill>
        </w:rPr>
        <w:t xml:space="preserve">Toda solicitud de revisión de certificados tendrá un costo. </w:t>
      </w:r>
    </w:p>
    <w:p>
      <w:pPr>
        <w:spacing w:after="160" w:line="259" w:lineRule="auto"/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br w:type="page"/>
      </w:r>
    </w:p>
    <w:p>
      <w:pPr>
        <w:jc w:val="both"/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pStyle w:val="20"/>
        <w:ind w:left="360"/>
        <w:jc w:val="center"/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>SECCIÓN B</w:t>
      </w:r>
    </w:p>
    <w:p>
      <w:pPr>
        <w:pStyle w:val="20"/>
        <w:ind w:left="360"/>
        <w:jc w:val="both"/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pStyle w:val="20"/>
        <w:ind w:left="360"/>
        <w:jc w:val="both"/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>MATERIAL DE REFERENCIA CERTIFICADO PROVENIENTE DE UN INSTITUTO NACIONAL DE METROLOGÍA</w:t>
      </w:r>
    </w:p>
    <w:p>
      <w:pPr>
        <w:pStyle w:val="20"/>
        <w:ind w:left="0"/>
        <w:jc w:val="both"/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pStyle w:val="20"/>
        <w:ind w:left="0"/>
        <w:jc w:val="both"/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pStyle w:val="20"/>
        <w:ind w:left="0"/>
        <w:jc w:val="center"/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>SECCIÓN B1</w:t>
      </w:r>
    </w:p>
    <w:p>
      <w:pPr>
        <w:pStyle w:val="20"/>
        <w:ind w:left="0"/>
        <w:jc w:val="center"/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pStyle w:val="20"/>
        <w:ind w:left="0"/>
        <w:jc w:val="center"/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>CENTRO NACIONAL DE METROLOGIA (CENAM)</w:t>
      </w:r>
    </w:p>
    <w:p>
      <w:pPr>
        <w:pStyle w:val="20"/>
        <w:ind w:left="0"/>
        <w:jc w:val="both"/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pStyle w:val="16"/>
        <w:spacing w:after="0"/>
        <w:ind w:left="360"/>
        <w:jc w:val="both"/>
        <w:rPr>
          <w:color w:val="000000" w:themeColor="text1"/>
          <w:sz w:val="24"/>
          <w:szCs w:val="24"/>
          <w:lang w:val="es-MX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 xml:space="preserve">Consultar el catálogo de MRC sobre la disponibilidad en el CENAM a través de su página web: </w:t>
      </w:r>
      <w:r>
        <w:fldChar w:fldCharType="begin"/>
      </w:r>
      <w:r>
        <w:instrText xml:space="preserve"> HYPERLINK "https://www.cenam.mx/materiales/" </w:instrText>
      </w:r>
      <w:r>
        <w:fldChar w:fldCharType="separate"/>
      </w:r>
      <w:r>
        <w:rPr>
          <w:rStyle w:val="7"/>
          <w:color w:val="000000" w:themeColor="text1"/>
          <w:sz w:val="24"/>
          <w:szCs w:val="24"/>
          <w:lang w:val="es-MX"/>
          <w14:textFill>
            <w14:solidFill>
              <w14:schemeClr w14:val="tx1"/>
            </w14:solidFill>
          </w14:textFill>
        </w:rPr>
        <w:t>https://www.cenam.mx/materiales/</w:t>
      </w:r>
      <w:r>
        <w:rPr>
          <w:rStyle w:val="7"/>
          <w:color w:val="000000" w:themeColor="text1"/>
          <w:sz w:val="24"/>
          <w:szCs w:val="24"/>
          <w:lang w:val="es-MX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16"/>
        <w:spacing w:after="0"/>
        <w:ind w:left="360"/>
        <w:jc w:val="both"/>
        <w:rPr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pStyle w:val="16"/>
        <w:spacing w:after="0"/>
        <w:ind w:left="360"/>
        <w:jc w:val="both"/>
        <w:rPr>
          <w:rStyle w:val="7"/>
          <w:color w:val="000000" w:themeColor="text1"/>
          <w:sz w:val="24"/>
          <w:szCs w:val="24"/>
          <w:u w:val="none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 xml:space="preserve">Contactar en el CENAM a la Lic. Sandra Martínez Díaz, coordinadora de la venta de MRC, teléfono 4422110500 ext. 3690 o por medio del correo electrónico </w:t>
      </w:r>
      <w:r>
        <w:fldChar w:fldCharType="begin"/>
      </w:r>
      <w:r>
        <w:instrText xml:space="preserve"> HYPERLINK "mailto:samartin@cenam.mx" </w:instrText>
      </w:r>
      <w:r>
        <w:fldChar w:fldCharType="separate"/>
      </w:r>
      <w:r>
        <w:rPr>
          <w:rStyle w:val="7"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>samartin@cenam.mx</w:t>
      </w:r>
      <w:r>
        <w:rPr>
          <w:rStyle w:val="7"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7"/>
          <w:color w:val="000000" w:themeColor="text1"/>
          <w:sz w:val="24"/>
          <w:szCs w:val="24"/>
          <w:u w:val="none"/>
          <w:lang w:val="es-MX" w:eastAsia="es-MX"/>
          <w14:textFill>
            <w14:solidFill>
              <w14:schemeClr w14:val="tx1"/>
            </w14:solidFill>
          </w14:textFill>
        </w:rPr>
        <w:t xml:space="preserve">  para solicitar la respuesta sobre la </w:t>
      </w:r>
      <w:r>
        <w:rPr>
          <w:rStyle w:val="7"/>
          <w:i/>
          <w:iCs/>
          <w:color w:val="000000" w:themeColor="text1"/>
          <w:sz w:val="24"/>
          <w:szCs w:val="24"/>
          <w:u w:val="none"/>
          <w:lang w:val="es-MX" w:eastAsia="es-MX"/>
          <w14:textFill>
            <w14:solidFill>
              <w14:schemeClr w14:val="tx1"/>
            </w14:solidFill>
          </w14:textFill>
        </w:rPr>
        <w:t>no existencia de MRC</w:t>
      </w:r>
      <w:r>
        <w:rPr>
          <w:rStyle w:val="7"/>
          <w:color w:val="000000" w:themeColor="text1"/>
          <w:sz w:val="24"/>
          <w:szCs w:val="24"/>
          <w:u w:val="none"/>
          <w:lang w:val="es-MX" w:eastAsia="es-MX"/>
          <w14:textFill>
            <w14:solidFill>
              <w14:schemeClr w14:val="tx1"/>
            </w14:solidFill>
          </w14:textFill>
        </w:rPr>
        <w:t xml:space="preserve"> en el CENAM. </w:t>
      </w:r>
      <w:r>
        <w:rPr>
          <w:rStyle w:val="7"/>
          <w:i/>
          <w:iCs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>Se hace la excepción</w:t>
      </w:r>
      <w:r>
        <w:rPr>
          <w:rStyle w:val="7"/>
          <w:color w:val="000000" w:themeColor="text1"/>
          <w:sz w:val="24"/>
          <w:szCs w:val="24"/>
          <w:u w:val="none"/>
          <w:lang w:val="es-MX" w:eastAsia="es-MX"/>
          <w14:textFill>
            <w14:solidFill>
              <w14:schemeClr w14:val="tx1"/>
            </w14:solidFill>
          </w14:textFill>
        </w:rPr>
        <w:t xml:space="preserve"> de este requisito </w:t>
      </w:r>
      <w:r>
        <w:rPr>
          <w:rStyle w:val="7"/>
          <w:i/>
          <w:iCs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>para los MRC de Gases* por sus características dinámicas.</w:t>
      </w:r>
    </w:p>
    <w:p>
      <w:pPr>
        <w:pStyle w:val="16"/>
        <w:spacing w:after="0"/>
        <w:ind w:left="360"/>
        <w:jc w:val="both"/>
        <w:rPr>
          <w:rStyle w:val="7"/>
          <w:color w:val="000000" w:themeColor="text1"/>
          <w:sz w:val="24"/>
          <w:szCs w:val="24"/>
          <w:u w:val="none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pStyle w:val="20"/>
        <w:ind w:left="360"/>
        <w:jc w:val="both"/>
        <w:rPr>
          <w:rStyle w:val="7"/>
          <w:color w:val="000000" w:themeColor="text1"/>
          <w:sz w:val="24"/>
          <w:szCs w:val="24"/>
          <w:u w:val="none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Style w:val="7"/>
          <w:color w:val="000000" w:themeColor="text1"/>
          <w:sz w:val="24"/>
          <w:szCs w:val="24"/>
          <w:u w:val="none"/>
          <w:lang w:val="es-MX" w:eastAsia="es-MX"/>
          <w14:textFill>
            <w14:solidFill>
              <w14:schemeClr w14:val="tx1"/>
            </w14:solidFill>
          </w14:textFill>
        </w:rPr>
        <w:t>La respuesta que reciba, deberá anexarla a la Solicitud del Servicio de Dictamen de Trazabilidad.</w:t>
      </w:r>
    </w:p>
    <w:p>
      <w:pPr>
        <w:pStyle w:val="16"/>
        <w:spacing w:after="0"/>
        <w:jc w:val="both"/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tbl>
      <w:tblPr>
        <w:tblStyle w:val="17"/>
        <w:tblpPr w:leftFromText="141" w:rightFromText="141" w:vertAnchor="text" w:horzAnchor="margin" w:tblpY="-7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411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63" w:type="dxa"/>
            <w:shd w:val="clear" w:color="auto" w:fill="F7CAAC" w:themeFill="accent2" w:themeFillTint="66"/>
            <w:vAlign w:val="center"/>
          </w:tcPr>
          <w:p>
            <w:pPr>
              <w:pStyle w:val="16"/>
              <w:spacing w:after="0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sym w:font="Wingdings" w:char="F0FD"/>
            </w: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No procede SDT</w:t>
            </w:r>
          </w:p>
        </w:tc>
        <w:tc>
          <w:tcPr>
            <w:tcW w:w="4111" w:type="dxa"/>
            <w:vAlign w:val="center"/>
          </w:tcPr>
          <w:p>
            <w:pPr>
              <w:pStyle w:val="16"/>
              <w:spacing w:after="0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Cuando en el CENAM </w:t>
            </w:r>
            <w:r>
              <w:rPr>
                <w:b/>
                <w:i/>
                <w:iCs/>
                <w:color w:val="000000" w:themeColor="text1"/>
                <w:sz w:val="24"/>
                <w:szCs w:val="24"/>
                <w:u w:val="single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Sí</w:t>
            </w: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existe el MRC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  <w:spacing w:after="0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No continuar con el proceso </w:t>
            </w:r>
          </w:p>
        </w:tc>
      </w:tr>
    </w:tbl>
    <w:p>
      <w:pPr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>SECCIÓN B2</w:t>
      </w:r>
    </w:p>
    <w:p>
      <w:pPr>
        <w:jc w:val="center"/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>OTRO INSTITUTO NACIONAL DE METROLOGÍA</w:t>
      </w:r>
    </w:p>
    <w:p>
      <w:pPr>
        <w:jc w:val="center"/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411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C5E0B3" w:themeFill="accent6" w:themeFillTint="66"/>
            <w:vAlign w:val="center"/>
          </w:tcPr>
          <w:p>
            <w:pPr>
              <w:pStyle w:val="16"/>
              <w:spacing w:after="0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sym w:font="Wingdings" w:char="F0FE"/>
            </w: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Sí procede SDT</w:t>
            </w:r>
          </w:p>
        </w:tc>
        <w:tc>
          <w:tcPr>
            <w:tcW w:w="4111" w:type="dxa"/>
            <w:vAlign w:val="center"/>
          </w:tcPr>
          <w:p>
            <w:pPr>
              <w:pStyle w:val="16"/>
              <w:spacing w:after="0"/>
              <w:jc w:val="center"/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Cuando en el CENAM </w:t>
            </w:r>
            <w:r>
              <w:rPr>
                <w:b/>
                <w:i/>
                <w:iCs/>
                <w:color w:val="000000" w:themeColor="text1"/>
                <w:sz w:val="24"/>
                <w:szCs w:val="24"/>
                <w:u w:val="single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existe el MRC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  <w:spacing w:after="0"/>
              <w:jc w:val="center"/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Continuar en la </w:t>
            </w:r>
          </w:p>
          <w:p>
            <w:pPr>
              <w:pStyle w:val="16"/>
              <w:spacing w:after="0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SECCIÓN B2</w:t>
            </w:r>
            <w:r>
              <w:rPr>
                <w:rFonts w:eastAsiaTheme="majorEastAsia"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sym w:font="Wingdings" w:char="F0EA"/>
            </w:r>
          </w:p>
        </w:tc>
      </w:tr>
    </w:tbl>
    <w:p>
      <w:pPr>
        <w:pStyle w:val="16"/>
        <w:spacing w:after="0"/>
        <w:rPr>
          <w:b/>
          <w:color w:val="000000" w:themeColor="text1"/>
          <w:sz w:val="24"/>
          <w:szCs w:val="24"/>
          <w:lang w:val="es-MX"/>
          <w14:textFill>
            <w14:solidFill>
              <w14:schemeClr w14:val="tx1"/>
            </w14:solidFill>
          </w14:textFill>
        </w:rPr>
      </w:pPr>
    </w:p>
    <w:p>
      <w:pPr>
        <w:pStyle w:val="16"/>
        <w:spacing w:after="0"/>
        <w:rPr>
          <w:b/>
          <w:color w:val="000000" w:themeColor="text1"/>
          <w:sz w:val="24"/>
          <w:szCs w:val="24"/>
          <w:lang w:val="es-MX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0"/>
        </w:numPr>
        <w:ind w:left="360"/>
        <w:rPr>
          <w:color w:val="000000" w:themeColor="text1"/>
          <w:lang w:val="es-MX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es-MX"/>
          <w14:textFill>
            <w14:solidFill>
              <w14:schemeClr w14:val="tx1"/>
            </w14:solidFill>
          </w14:textFill>
        </w:rPr>
        <w:t>Lo invitamos a consultar la base de datos de Materiales de Referencia Certificados que conjuntó el BAM de Alemania, de gran parte de los Institutos Nacionales de Metrología del mundo.</w:t>
      </w:r>
    </w:p>
    <w:p>
      <w:pPr>
        <w:pStyle w:val="13"/>
        <w:numPr>
          <w:ilvl w:val="0"/>
          <w:numId w:val="0"/>
        </w:numPr>
        <w:ind w:left="360"/>
        <w:rPr>
          <w:color w:val="000000" w:themeColor="text1"/>
          <w:lang w:val="es-MX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es-MX"/>
          <w14:textFill>
            <w14:solidFill>
              <w14:schemeClr w14:val="tx1"/>
            </w14:solidFill>
          </w14:textFill>
        </w:rPr>
        <w:t xml:space="preserve">La página web del COMAR: </w:t>
      </w:r>
      <w:r>
        <w:fldChar w:fldCharType="begin"/>
      </w:r>
      <w:r>
        <w:instrText xml:space="preserve"> HYPERLINK "https://www.comar.bam.de" </w:instrText>
      </w:r>
      <w:r>
        <w:fldChar w:fldCharType="separate"/>
      </w:r>
      <w:r>
        <w:rPr>
          <w:rStyle w:val="7"/>
          <w:b/>
          <w:color w:val="000000" w:themeColor="text1"/>
          <w:sz w:val="24"/>
          <w:szCs w:val="24"/>
          <w:lang w:val="es-MX"/>
          <w14:textFill>
            <w14:solidFill>
              <w14:schemeClr w14:val="tx1"/>
            </w14:solidFill>
          </w14:textFill>
        </w:rPr>
        <w:t>https://www.comar.bam.de</w:t>
      </w:r>
      <w:r>
        <w:rPr>
          <w:rStyle w:val="7"/>
          <w:b/>
          <w:color w:val="000000" w:themeColor="text1"/>
          <w:sz w:val="24"/>
          <w:szCs w:val="24"/>
          <w:lang w:val="es-MX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after="160" w:line="259" w:lineRule="auto"/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>Lista de algunos Institutos Nacionales de Metrología (INM).</w:t>
      </w:r>
    </w:p>
    <w:tbl>
      <w:tblPr>
        <w:tblStyle w:val="17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111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418" w:type="dxa"/>
            <w:shd w:val="clear" w:color="auto" w:fill="DEEAF6" w:themeFill="accent1" w:themeFillTint="33"/>
          </w:tcPr>
          <w:p>
            <w:pPr>
              <w:pStyle w:val="16"/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>
            <w:pPr>
              <w:pStyle w:val="16"/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NOMBRE INSTITUTO</w:t>
            </w:r>
          </w:p>
          <w:p>
            <w:pPr>
              <w:pStyle w:val="16"/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7" w:type="dxa"/>
            <w:shd w:val="clear" w:color="auto" w:fill="DEEAF6" w:themeFill="accent1" w:themeFillTint="33"/>
          </w:tcPr>
          <w:p>
            <w:pPr>
              <w:pStyle w:val="16"/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PÁGINA WEB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NIST</w:t>
            </w:r>
          </w:p>
        </w:tc>
        <w:tc>
          <w:tcPr>
            <w:tcW w:w="4111" w:type="dxa"/>
          </w:tcPr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National Institute of Standard and Technology, Gaithersburg, USA.</w:t>
            </w:r>
          </w:p>
        </w:tc>
        <w:tc>
          <w:tcPr>
            <w:tcW w:w="3827" w:type="dxa"/>
          </w:tcPr>
          <w:p>
            <w:pPr>
              <w:pStyle w:val="16"/>
              <w:spacing w:after="0"/>
              <w:rPr>
                <w:rStyle w:val="7"/>
                <w:rFonts w:ascii="Arial" w:hAnsi="Arial" w:cs="Arial"/>
                <w:color w:val="000000" w:themeColor="text1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"http://www.nist.gov/"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color w:val="000000" w:themeColor="text1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www.nist.gov</w:t>
            </w:r>
            <w:r>
              <w:rPr>
                <w:rStyle w:val="7"/>
                <w:rFonts w:ascii="Arial" w:hAnsi="Arial" w:cs="Arial"/>
                <w:color w:val="000000" w:themeColor="text1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pStyle w:val="16"/>
              <w:spacing w:after="0"/>
              <w:rPr>
                <w:color w:val="000000" w:themeColor="text1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ascii="Roboto" w:hAnsi="Roboto"/>
                <w:i w:val="0"/>
                <w:iCs w:val="0"/>
                <w:color w:val="000000" w:themeColor="text1"/>
                <w:shd w:val="clear" w:color="auto" w:fill="FFFFFF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https://www.nist.gov/srm</w:t>
            </w:r>
            <w:r>
              <w:fldChar w:fldCharType="begin"/>
            </w:r>
            <w:r>
              <w:instrText xml:space="preserve"> HYPERLINK "https://www.bing.com/search?q=https%3A%2F%2Fwww.ptb.de+certified+reference+materials&amp;qs=n&amp;form=QBRE&amp;msbsrank=1_1__0&amp;sp=-1&amp;pq=https%3A%2F%2Fwww.ptb.de+certified+reference+materials&amp;sc=1-48&amp;sk=&amp;cvid=6CCB88A3F6794A96A32F92D77B1D7F0D" </w:instrText>
            </w:r>
            <w:r>
              <w:fldChar w:fldCharType="separate"/>
            </w:r>
            <w:r>
              <w:rPr>
                <w:rFonts w:ascii="Roboto" w:hAnsi="Roboto"/>
                <w:color w:val="000000" w:themeColor="text1"/>
                <w:shd w:val="clear" w:color="auto" w:fill="FFFFFF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Roboto" w:hAnsi="Roboto"/>
                <w:color w:val="000000" w:themeColor="text1"/>
                <w:shd w:val="clear" w:color="auto" w:fill="FFFFFF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SMU</w:t>
            </w:r>
          </w:p>
        </w:tc>
        <w:tc>
          <w:tcPr>
            <w:tcW w:w="4111" w:type="dxa"/>
          </w:tcPr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 xml:space="preserve">Slovak Institute of Metrology/Slovenský Metrologický Ústav, </w:t>
            </w:r>
          </w:p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Bratislava, Eslovaquia.</w:t>
            </w:r>
          </w:p>
        </w:tc>
        <w:tc>
          <w:tcPr>
            <w:tcW w:w="3827" w:type="dxa"/>
          </w:tcPr>
          <w:p>
            <w:pPr>
              <w:pStyle w:val="16"/>
              <w:spacing w:after="0"/>
              <w:rPr>
                <w:rStyle w:val="7"/>
                <w:rFonts w:ascii="Arial" w:hAnsi="Arial" w:cs="Arial"/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"http://www.smu.gov.sk/"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www.smu.gov.sk</w:t>
            </w:r>
            <w:r>
              <w:rPr>
                <w:rStyle w:val="7"/>
                <w:rFonts w:ascii="Arial" w:hAnsi="Arial" w:cs="Arial"/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pStyle w:val="16"/>
              <w:spacing w:after="0"/>
              <w:rPr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Roboto" w:hAnsi="Roboto"/>
                <w:color w:val="000000" w:themeColor="text1"/>
                <w:shd w:val="clear" w:color="auto" w:fill="FFFFFF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https://www.smu.sk/static/root/PDF/cenniky/2018/SMU_Catalog…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BAM</w:t>
            </w:r>
          </w:p>
        </w:tc>
        <w:tc>
          <w:tcPr>
            <w:tcW w:w="4111" w:type="dxa"/>
          </w:tcPr>
          <w:p>
            <w:pPr>
              <w:pStyle w:val="16"/>
              <w:spacing w:after="0"/>
              <w:jc w:val="both"/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 xml:space="preserve">Federal Institute for Materials Research and </w:t>
            </w:r>
          </w:p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 xml:space="preserve">Testing/Bundesanstalt für Materialforschung und –prüfung.  </w:t>
            </w:r>
          </w:p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Berlin, Alemania.</w:t>
            </w:r>
          </w:p>
        </w:tc>
        <w:tc>
          <w:tcPr>
            <w:tcW w:w="3827" w:type="dxa"/>
          </w:tcPr>
          <w:p>
            <w:pPr>
              <w:pStyle w:val="16"/>
              <w:spacing w:after="0"/>
              <w:rPr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https://www.bam.de/Navigation/EN/Home/home.html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PTB</w:t>
            </w:r>
          </w:p>
        </w:tc>
        <w:tc>
          <w:tcPr>
            <w:tcW w:w="4111" w:type="dxa"/>
          </w:tcPr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Physikalisch-Technische Bundesanstalt</w:t>
            </w:r>
          </w:p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Braunschweig, Alemania</w:t>
            </w:r>
          </w:p>
        </w:tc>
        <w:tc>
          <w:tcPr>
            <w:tcW w:w="3827" w:type="dxa"/>
          </w:tcPr>
          <w:p>
            <w:pPr>
              <w:pStyle w:val="16"/>
              <w:spacing w:after="0"/>
              <w:rPr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Roboto" w:hAnsi="Roboto"/>
                <w:color w:val="000000" w:themeColor="text1"/>
                <w:shd w:val="clear" w:color="auto" w:fill="FFFFFF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https://www.ptb.de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NRC</w:t>
            </w:r>
          </w:p>
        </w:tc>
        <w:tc>
          <w:tcPr>
            <w:tcW w:w="4111" w:type="dxa"/>
          </w:tcPr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 xml:space="preserve">National Research Council of Canada,  </w:t>
            </w:r>
          </w:p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Ottawa, Canada.</w:t>
            </w:r>
          </w:p>
        </w:tc>
        <w:tc>
          <w:tcPr>
            <w:tcW w:w="3827" w:type="dxa"/>
          </w:tcPr>
          <w:p>
            <w:pPr>
              <w:pStyle w:val="16"/>
              <w:spacing w:after="0"/>
              <w:rPr>
                <w:rFonts w:ascii="Roboto" w:hAnsi="Roboto"/>
                <w:color w:val="000000" w:themeColor="text1"/>
                <w:shd w:val="clear" w:color="auto" w:fill="FFFFFF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"https://nrc.canada.ca" </w:instrText>
            </w:r>
            <w:r>
              <w:fldChar w:fldCharType="separate"/>
            </w:r>
            <w:r>
              <w:rPr>
                <w:rStyle w:val="7"/>
                <w:rFonts w:ascii="Roboto" w:hAnsi="Roboto"/>
                <w:color w:val="000000" w:themeColor="text1"/>
                <w:shd w:val="clear" w:color="auto" w:fill="FFFFFF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https://nrc.canada.ca</w:t>
            </w:r>
            <w:r>
              <w:rPr>
                <w:rStyle w:val="7"/>
                <w:rFonts w:ascii="Roboto" w:hAnsi="Roboto"/>
                <w:color w:val="000000" w:themeColor="text1"/>
                <w:shd w:val="clear" w:color="auto" w:fill="FFFFFF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pStyle w:val="16"/>
              <w:spacing w:after="0"/>
              <w:rPr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Roboto" w:hAnsi="Roboto"/>
                <w:color w:val="000000" w:themeColor="text1"/>
                <w:shd w:val="clear" w:color="auto" w:fill="FFFFFF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https://www.nrcan.gc.ca/mining-materials/resources/canadian-certified..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NMIJ/AIST</w:t>
            </w:r>
          </w:p>
        </w:tc>
        <w:tc>
          <w:tcPr>
            <w:tcW w:w="4111" w:type="dxa"/>
          </w:tcPr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 xml:space="preserve">National Metrology Institute of Japan, AIST, </w:t>
            </w:r>
          </w:p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Tsukuba, Japón.</w:t>
            </w:r>
          </w:p>
        </w:tc>
        <w:tc>
          <w:tcPr>
            <w:tcW w:w="3827" w:type="dxa"/>
          </w:tcPr>
          <w:p>
            <w:pPr>
              <w:pStyle w:val="16"/>
              <w:spacing w:after="0"/>
              <w:rPr>
                <w:color w:val="000000" w:themeColor="text1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ascii="Roboto" w:hAnsi="Roboto"/>
                <w:i w:val="0"/>
                <w:iCs w:val="0"/>
                <w:color w:val="000000" w:themeColor="text1"/>
                <w:shd w:val="clear" w:color="auto" w:fill="FFFFFF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https://unit.aist.go.jp/nmij/english/refmate</w:t>
            </w:r>
            <w:r>
              <w:fldChar w:fldCharType="begin"/>
            </w:r>
            <w:r>
              <w:instrText xml:space="preserve"> HYPERLINK "https://www.bing.com/search?q=National+Metrology+Institute+of+Japan%2C+AIST+certified+reference+materials&amp;qs=n&amp;form=QBRE&amp;msbsrank=0_0__0&amp;sp=-1&amp;pq=national+metrology+institute+of+japan%2C+aist+certified+re&amp;sc=0-56&amp;sk=&amp;cvid=1A27D1744A064207AC56622E17B44E88" </w:instrText>
            </w:r>
            <w:r>
              <w:fldChar w:fldCharType="separate"/>
            </w:r>
            <w:r>
              <w:rPr>
                <w:rFonts w:ascii="Roboto" w:hAnsi="Roboto"/>
                <w:color w:val="000000" w:themeColor="text1"/>
                <w:shd w:val="clear" w:color="auto" w:fill="FFFFFF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Roboto" w:hAnsi="Roboto"/>
                <w:color w:val="000000" w:themeColor="text1"/>
                <w:shd w:val="clear" w:color="auto" w:fill="FFFFFF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KRISS</w:t>
            </w:r>
          </w:p>
        </w:tc>
        <w:tc>
          <w:tcPr>
            <w:tcW w:w="4111" w:type="dxa"/>
          </w:tcPr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Korea Research Institute of Standards and Science, Daejeon, Corea.</w:t>
            </w:r>
          </w:p>
        </w:tc>
        <w:tc>
          <w:tcPr>
            <w:tcW w:w="3827" w:type="dxa"/>
          </w:tcPr>
          <w:p>
            <w:pPr>
              <w:pStyle w:val="16"/>
              <w:spacing w:after="0"/>
              <w:rPr>
                <w:rStyle w:val="7"/>
                <w:rFonts w:ascii="Arial" w:hAnsi="Arial" w:cs="Arial"/>
                <w:color w:val="000000" w:themeColor="text1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"http://www.kriss.re.kr/"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color w:val="000000" w:themeColor="text1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www.kriss.re.kr</w:t>
            </w:r>
            <w:r>
              <w:rPr>
                <w:rStyle w:val="7"/>
                <w:rFonts w:ascii="Arial" w:hAnsi="Arial" w:cs="Arial"/>
                <w:color w:val="000000" w:themeColor="text1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pStyle w:val="16"/>
              <w:spacing w:after="0"/>
              <w:rPr>
                <w:color w:val="000000" w:themeColor="text1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Roboto" w:hAnsi="Roboto"/>
                <w:color w:val="000000" w:themeColor="text1"/>
                <w:shd w:val="clear" w:color="auto" w:fill="FFFFFF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english.kriss.re.kr/eng/file/KRISS_Certified_Reference_Material.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NIM</w:t>
            </w:r>
          </w:p>
        </w:tc>
        <w:tc>
          <w:tcPr>
            <w:tcW w:w="4111" w:type="dxa"/>
          </w:tcPr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 xml:space="preserve">National Institute of Metrology, </w:t>
            </w:r>
          </w:p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Beijing, China.</w:t>
            </w:r>
          </w:p>
        </w:tc>
        <w:tc>
          <w:tcPr>
            <w:tcW w:w="3827" w:type="dxa"/>
          </w:tcPr>
          <w:p>
            <w:pPr>
              <w:rPr>
                <w:rStyle w:val="7"/>
                <w:color w:val="000000" w:themeColor="text1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"https://en.nim.ac.cn/"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color w:val="000000" w:themeColor="text1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https://en.nim.ac.cn/</w:t>
            </w:r>
            <w:r>
              <w:rPr>
                <w:rStyle w:val="7"/>
                <w:rFonts w:ascii="Arial" w:hAnsi="Arial" w:cs="Arial"/>
                <w:color w:val="000000" w:themeColor="text1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ascii="Roboto" w:hAnsi="Roboto"/>
                <w:i w:val="0"/>
                <w:iCs w:val="0"/>
                <w:color w:val="000000" w:themeColor="text1"/>
                <w:shd w:val="clear" w:color="auto" w:fill="FFFFFF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https://en.nim.ac.cn/taxonomy/term/122</w:t>
            </w:r>
            <w:r>
              <w:fldChar w:fldCharType="begin"/>
            </w:r>
            <w:r>
              <w:instrText xml:space="preserve"> HYPERLINK "https://www.bing.com/search?q=https%3A%2F%2Fen.nim.ac.cn%2F+certified+reference+materials&amp;qs=n&amp;form=QBRE&amp;msbsrank=1_1__0&amp;sp=-1&amp;pq=https%3A%2F%2Fen.nim.ac.cn%2F+certified+reference+materials&amp;sc=1-51&amp;sk=&amp;cvid=3F858438A8B249129163B443B7BE23E4" </w:instrText>
            </w:r>
            <w:r>
              <w:fldChar w:fldCharType="separate"/>
            </w:r>
            <w:r>
              <w:rPr>
                <w:rFonts w:ascii="Roboto" w:hAnsi="Roboto"/>
                <w:color w:val="000000" w:themeColor="text1"/>
                <w:shd w:val="clear" w:color="auto" w:fill="FFFFFF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Roboto" w:hAnsi="Roboto"/>
                <w:color w:val="000000" w:themeColor="text1"/>
                <w:shd w:val="clear" w:color="auto" w:fill="FFFFFF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418" w:type="dxa"/>
          </w:tcPr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LGC</w:t>
            </w:r>
          </w:p>
        </w:tc>
        <w:tc>
          <w:tcPr>
            <w:tcW w:w="4111" w:type="dxa"/>
          </w:tcPr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LGC Ltd.,</w:t>
            </w:r>
          </w:p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Teddington, Londres.</w:t>
            </w:r>
          </w:p>
        </w:tc>
        <w:tc>
          <w:tcPr>
            <w:tcW w:w="3827" w:type="dxa"/>
          </w:tcPr>
          <w:p>
            <w:pPr>
              <w:pStyle w:val="16"/>
              <w:spacing w:after="0"/>
              <w:rPr>
                <w:rStyle w:val="7"/>
                <w:rFonts w:ascii="Arial" w:hAnsi="Arial" w:cs="Arial"/>
                <w:color w:val="000000" w:themeColor="text1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"http://www.lgc.uk/"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color w:val="000000" w:themeColor="text1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www.lgc.uk</w:t>
            </w:r>
            <w:r>
              <w:rPr>
                <w:rStyle w:val="7"/>
                <w:rFonts w:ascii="Arial" w:hAnsi="Arial" w:cs="Arial"/>
                <w:color w:val="000000" w:themeColor="text1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Roboto" w:hAnsi="Roboto"/>
                <w:color w:val="000000" w:themeColor="text1"/>
                <w:shd w:val="clear" w:color="auto" w:fill="FFFFFF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https://www.lgcstandards.com/GB/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DFM</w:t>
            </w:r>
          </w:p>
        </w:tc>
        <w:tc>
          <w:tcPr>
            <w:tcW w:w="4111" w:type="dxa"/>
          </w:tcPr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 xml:space="preserve">Danish Fundamental Metrology Ltd., </w:t>
            </w:r>
          </w:p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Hørsholm,</w:t>
            </w: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 xml:space="preserve"> Dinamarca</w:t>
            </w:r>
          </w:p>
        </w:tc>
        <w:tc>
          <w:tcPr>
            <w:tcW w:w="3827" w:type="dxa"/>
          </w:tcPr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ascii="Roboto" w:hAnsi="Roboto"/>
                <w:i w:val="0"/>
                <w:iCs w:val="0"/>
                <w:color w:val="000000" w:themeColor="text1"/>
                <w:shd w:val="clear" w:color="auto" w:fill="FFFFFF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https://www.euramet.org/contact-search/institutes/detail/dfm-danish...</w:t>
            </w:r>
            <w:r>
              <w:fldChar w:fldCharType="begin"/>
            </w:r>
            <w:r>
              <w:instrText xml:space="preserve"> HYPERLINK "https://www.bing.com/search?q=Danish+Fundamental+Metrology+Ltd.++H%C3%B8rsholm%2C+Dinamarca+certified+reference+material&amp;qs=n&amp;form=QBRE&amp;msbsrank=6_6__0&amp;sp=-1&amp;pq=danish+fundamental+metrology+ltd.+h%C3%B8rsholm%2C+dinamarca&amp;sc=6-53&amp;sk=&amp;cvid=389B532B00F4421089AB124EE5AD54D0" </w:instrText>
            </w:r>
            <w:r>
              <w:fldChar w:fldCharType="separate"/>
            </w:r>
            <w:r>
              <w:rPr>
                <w:rFonts w:ascii="Roboto" w:hAnsi="Roboto"/>
                <w:color w:val="000000" w:themeColor="text1"/>
                <w:shd w:val="clear" w:color="auto" w:fill="FFFFFF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Roboto" w:hAnsi="Roboto"/>
                <w:color w:val="000000" w:themeColor="text1"/>
                <w:shd w:val="clear" w:color="auto" w:fill="FFFFFF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IRMM</w:t>
            </w:r>
          </w:p>
        </w:tc>
        <w:tc>
          <w:tcPr>
            <w:tcW w:w="4111" w:type="dxa"/>
          </w:tcPr>
          <w:p>
            <w:pP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Institute for Reference Materials and Measurements,</w:t>
            </w:r>
          </w:p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  <w:t>Geel, Belgica,</w:t>
            </w:r>
          </w:p>
        </w:tc>
        <w:tc>
          <w:tcPr>
            <w:tcW w:w="3827" w:type="dxa"/>
          </w:tcPr>
          <w:p>
            <w:pPr>
              <w:pStyle w:val="16"/>
              <w:spacing w:after="0"/>
              <w:jc w:val="both"/>
              <w:rPr>
                <w:rFonts w:ascii="Arial" w:hAnsi="Arial" w:cs="Arial"/>
                <w:color w:val="000000" w:themeColor="text1"/>
                <w:lang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"http://www.irmm.jrc.be"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color w:val="000000" w:themeColor="text1"/>
                <w:lang w:eastAsia="es-MX"/>
                <w14:textFill>
                  <w14:solidFill>
                    <w14:schemeClr w14:val="tx1"/>
                  </w14:solidFill>
                </w14:textFill>
              </w:rPr>
              <w:t>www.irmm.jrc.be</w:t>
            </w:r>
            <w:r>
              <w:rPr>
                <w:rStyle w:val="7"/>
                <w:rFonts w:ascii="Arial" w:hAnsi="Arial" w:cs="Arial"/>
                <w:color w:val="000000" w:themeColor="text1"/>
                <w:lang w:eastAsia="es-MX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Roboto" w:hAnsi="Roboto"/>
                <w:color w:val="000000" w:themeColor="text1"/>
                <w:shd w:val="clear" w:color="auto" w:fill="FFFFFF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crm.jrc.ec.europa.eu/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INMETRO</w:t>
            </w:r>
          </w:p>
        </w:tc>
        <w:tc>
          <w:tcPr>
            <w:tcW w:w="4111" w:type="dxa"/>
          </w:tcPr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Instituto Nacional de Metrologia, Qualidade e Tecnología, </w:t>
            </w:r>
          </w:p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Rio de Janeiro, Brasil.</w:t>
            </w:r>
          </w:p>
        </w:tc>
        <w:tc>
          <w:tcPr>
            <w:tcW w:w="3827" w:type="dxa"/>
          </w:tcPr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n-US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Roboto" w:hAnsi="Roboto"/>
                <w:color w:val="000000" w:themeColor="text1"/>
                <w:shd w:val="clear" w:color="auto" w:fill="FFFFFF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www.inmetro.gov.br</w:t>
            </w:r>
          </w:p>
        </w:tc>
      </w:tr>
    </w:tbl>
    <w:p>
      <w:pPr>
        <w:jc w:val="center"/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>SECCIÓN B2.1</w:t>
      </w:r>
    </w:p>
    <w:p>
      <w:pPr>
        <w:jc w:val="center"/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 xml:space="preserve"> Revisión del certificado del Material de Referencia emitido por un INM.</w:t>
      </w:r>
    </w:p>
    <w:tbl>
      <w:tblPr>
        <w:tblStyle w:val="17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268"/>
        <w:gridCol w:w="35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shd w:val="clear" w:color="auto" w:fill="F7CAAC" w:themeFill="accent2" w:themeFillTint="66"/>
            <w:vAlign w:val="center"/>
          </w:tcPr>
          <w:p>
            <w:pPr>
              <w:pStyle w:val="16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sym w:font="Wingdings" w:char="F0FD"/>
            </w: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No procede SDT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Cuando en el certificado del MR </w:t>
            </w:r>
          </w:p>
          <w:p>
            <w:pPr>
              <w:pStyle w:val="16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i/>
                <w:color w:val="000000" w:themeColor="text1"/>
                <w:sz w:val="24"/>
                <w:szCs w:val="24"/>
                <w:u w:val="single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proporciona</w:t>
            </w: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la información necesaria para el SDT</w:t>
            </w:r>
          </w:p>
        </w:tc>
        <w:tc>
          <w:tcPr>
            <w:tcW w:w="3543" w:type="dxa"/>
          </w:tcPr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Por ejemplo, en la sección de:</w:t>
            </w:r>
          </w:p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6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Trazabilidad </w:t>
            </w:r>
          </w:p>
          <w:p>
            <w:pPr>
              <w:pStyle w:val="16"/>
              <w:spacing w:after="0"/>
              <w:ind w:left="36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u w:val="single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No indica</w:t>
            </w: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el MRC y lote con el que se asignó el valor certificado en cantidad de sustancia.</w:t>
            </w:r>
          </w:p>
          <w:p>
            <w:pPr>
              <w:pStyle w:val="16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Incertidumbre no determinada</w:t>
            </w:r>
          </w:p>
          <w:p>
            <w:pPr>
              <w:pStyle w:val="20"/>
              <w:tabs>
                <w:tab w:val="left" w:pos="8610"/>
              </w:tabs>
              <w:ind w:left="360"/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6"/>
              <w:jc w:val="center"/>
              <w:rPr>
                <w:rFonts w:eastAsiaTheme="majorEastAsia"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No continuar con el proceso.</w:t>
            </w:r>
          </w:p>
        </w:tc>
      </w:tr>
    </w:tbl>
    <w:p>
      <w:pPr>
        <w:tabs>
          <w:tab w:val="left" w:pos="8610"/>
        </w:tabs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268"/>
        <w:gridCol w:w="35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shd w:val="clear" w:color="auto" w:fill="C5E0B3" w:themeFill="accent6" w:themeFillTint="66"/>
            <w:vAlign w:val="center"/>
          </w:tcPr>
          <w:p>
            <w:pPr>
              <w:pStyle w:val="16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sym w:font="Wingdings" w:char="F0FE"/>
            </w: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Sí procede SDT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Cuando en el certificado del MRC  </w:t>
            </w:r>
          </w:p>
          <w:p>
            <w:pPr>
              <w:pStyle w:val="16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Sí</w:t>
            </w:r>
            <w:r>
              <w:rPr>
                <w:i/>
                <w:color w:val="000000" w:themeColor="text1"/>
                <w:sz w:val="24"/>
                <w:szCs w:val="24"/>
                <w:u w:val="single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proporciona</w:t>
            </w: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la información necesaria para el SDT</w:t>
            </w:r>
          </w:p>
        </w:tc>
        <w:tc>
          <w:tcPr>
            <w:tcW w:w="3543" w:type="dxa"/>
            <w:vAlign w:val="center"/>
          </w:tcPr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Por ejemplo, en la sección de:</w:t>
            </w:r>
          </w:p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6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Trazabilidad </w:t>
            </w:r>
          </w:p>
          <w:p>
            <w:pPr>
              <w:pStyle w:val="16"/>
              <w:spacing w:after="0"/>
              <w:ind w:left="36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u w:val="single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Sí indica</w:t>
            </w: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el MRC y lote con el que se asignó el valor certificado</w:t>
            </w:r>
          </w:p>
          <w:p>
            <w:pPr>
              <w:pStyle w:val="16"/>
              <w:spacing w:after="0"/>
              <w:ind w:left="36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en cantidad de sustancia</w:t>
            </w:r>
          </w:p>
          <w:p>
            <w:pPr>
              <w:pStyle w:val="16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Incertidumbre determinada</w:t>
            </w:r>
          </w:p>
          <w:p>
            <w:pPr>
              <w:tabs>
                <w:tab w:val="left" w:pos="8610"/>
              </w:tabs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6"/>
              <w:jc w:val="center"/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Continuar en la  </w:t>
            </w:r>
          </w:p>
          <w:p>
            <w:pPr>
              <w:pStyle w:val="16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SECCIÓN A</w:t>
            </w:r>
            <w:r>
              <w:rPr>
                <w:rFonts w:eastAsiaTheme="majorEastAsia"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Formato 600-AC-FO.074</w:t>
            </w:r>
          </w:p>
        </w:tc>
      </w:tr>
    </w:tbl>
    <w:p>
      <w:pPr>
        <w:jc w:val="center"/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>SECCIÓN C</w:t>
      </w:r>
    </w:p>
    <w:p>
      <w:pPr>
        <w:jc w:val="center"/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>PRODUCTOR DE MATERIAL DE REFERENCIA CERTIFICADO ACREDITADO ANTE LA NORMA 17034</w:t>
      </w:r>
    </w:p>
    <w:p>
      <w:pPr>
        <w:tabs>
          <w:tab w:val="left" w:pos="8610"/>
        </w:tabs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tbl>
      <w:tblPr>
        <w:tblStyle w:val="17"/>
        <w:tblpPr w:leftFromText="141" w:rightFromText="141" w:vertAnchor="text" w:horzAnchor="margin" w:tblpY="-7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411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63" w:type="dxa"/>
            <w:shd w:val="clear" w:color="auto" w:fill="F7CAAC" w:themeFill="accent2" w:themeFillTint="66"/>
            <w:vAlign w:val="center"/>
          </w:tcPr>
          <w:p>
            <w:pPr>
              <w:pStyle w:val="16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sym w:font="Wingdings" w:char="F0FD"/>
            </w: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No procede SDT</w:t>
            </w:r>
          </w:p>
        </w:tc>
        <w:tc>
          <w:tcPr>
            <w:tcW w:w="4111" w:type="dxa"/>
            <w:vAlign w:val="center"/>
          </w:tcPr>
          <w:p>
            <w:pPr>
              <w:pStyle w:val="16"/>
              <w:spacing w:after="0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Cuando en el CENAM </w:t>
            </w:r>
            <w:r>
              <w:rPr>
                <w:b/>
                <w:color w:val="000000" w:themeColor="text1"/>
                <w:sz w:val="24"/>
                <w:szCs w:val="24"/>
                <w:u w:val="single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Si</w:t>
            </w: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existe el MRC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No continuar con el proceso. </w:t>
            </w:r>
          </w:p>
        </w:tc>
      </w:tr>
    </w:tbl>
    <w:tbl>
      <w:tblPr>
        <w:tblStyle w:val="17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411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shd w:val="clear" w:color="auto" w:fill="C5E0B3" w:themeFill="accent6" w:themeFillTint="66"/>
            <w:vAlign w:val="center"/>
          </w:tcPr>
          <w:p>
            <w:pPr>
              <w:pStyle w:val="16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sym w:font="Wingdings" w:char="F0FE"/>
            </w: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Sí procede SDT</w:t>
            </w:r>
          </w:p>
        </w:tc>
        <w:tc>
          <w:tcPr>
            <w:tcW w:w="4111" w:type="dxa"/>
            <w:vAlign w:val="center"/>
          </w:tcPr>
          <w:p>
            <w:pPr>
              <w:pStyle w:val="16"/>
              <w:spacing w:after="0"/>
              <w:jc w:val="center"/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Cuando en el CENAM </w:t>
            </w:r>
            <w:r>
              <w:rPr>
                <w:b/>
                <w:color w:val="000000" w:themeColor="text1"/>
                <w:sz w:val="24"/>
                <w:szCs w:val="24"/>
                <w:u w:val="single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existe el MRC</w:t>
            </w:r>
          </w:p>
        </w:tc>
        <w:tc>
          <w:tcPr>
            <w:tcW w:w="2835" w:type="dxa"/>
            <w:vAlign w:val="center"/>
          </w:tcPr>
          <w:p>
            <w:pPr>
              <w:pStyle w:val="16"/>
              <w:jc w:val="center"/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Continuar en la</w:t>
            </w:r>
          </w:p>
          <w:p>
            <w:pPr>
              <w:pStyle w:val="16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SECCIÓN C1</w:t>
            </w:r>
            <w:r>
              <w:rPr>
                <w:rFonts w:eastAsiaTheme="majorEastAsia"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sym w:font="Wingdings" w:char="F0EA"/>
            </w:r>
          </w:p>
        </w:tc>
      </w:tr>
    </w:tbl>
    <w:p>
      <w:pPr>
        <w:tabs>
          <w:tab w:val="left" w:pos="8610"/>
        </w:tabs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spacing w:after="160" w:line="259" w:lineRule="auto"/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8610"/>
        </w:tabs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>SECCIÓN C1</w:t>
      </w:r>
    </w:p>
    <w:p>
      <w:pPr>
        <w:jc w:val="center"/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>Revisión del certificado del Material de Referencia proveniente de un productor extranjero acreditado ante la norma 17034.</w:t>
      </w:r>
    </w:p>
    <w:p>
      <w:pPr>
        <w:tabs>
          <w:tab w:val="left" w:pos="8610"/>
        </w:tabs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268"/>
        <w:gridCol w:w="311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shd w:val="clear" w:color="auto" w:fill="F7CAAC" w:themeFill="accent2" w:themeFillTint="66"/>
            <w:vAlign w:val="center"/>
          </w:tcPr>
          <w:p>
            <w:pPr>
              <w:pStyle w:val="16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sym w:font="Wingdings" w:char="F0FD"/>
            </w: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No procede SDT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Cuando en el certificado del MR </w:t>
            </w:r>
          </w:p>
          <w:p>
            <w:pPr>
              <w:pStyle w:val="16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i/>
                <w:color w:val="000000" w:themeColor="text1"/>
                <w:sz w:val="24"/>
                <w:szCs w:val="24"/>
                <w:u w:val="single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proporciona</w:t>
            </w: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la información necesaria para el SDT</w:t>
            </w:r>
          </w:p>
        </w:tc>
        <w:tc>
          <w:tcPr>
            <w:tcW w:w="3118" w:type="dxa"/>
          </w:tcPr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Por ejemplo, en la sección de:</w:t>
            </w:r>
          </w:p>
          <w:p>
            <w:pPr>
              <w:pStyle w:val="16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Trazabilidad </w:t>
            </w:r>
          </w:p>
          <w:p>
            <w:pPr>
              <w:pStyle w:val="16"/>
              <w:spacing w:after="0"/>
              <w:ind w:left="36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u w:val="single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No indica</w:t>
            </w: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el MRC y lote con el que se asignó el valor certificado en cantidad de sustancia.</w:t>
            </w:r>
          </w:p>
          <w:p>
            <w:pPr>
              <w:pStyle w:val="16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No indica</w:t>
            </w: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que sea homogéneo y estable.</w:t>
            </w:r>
          </w:p>
          <w:p>
            <w:pPr>
              <w:pStyle w:val="16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No indica</w:t>
            </w: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la Incertidumbre determinada.</w:t>
            </w:r>
          </w:p>
          <w:p>
            <w:pPr>
              <w:pStyle w:val="16"/>
              <w:spacing w:after="0"/>
              <w:ind w:left="360"/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6"/>
              <w:jc w:val="center"/>
              <w:rPr>
                <w:rFonts w:eastAsiaTheme="majorEastAsia"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No continuar con el proceso.</w:t>
            </w:r>
            <w:r>
              <w:rPr>
                <w:rFonts w:eastAsiaTheme="majorEastAsia"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16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Buscar otro MRC</w:t>
            </w:r>
          </w:p>
        </w:tc>
      </w:tr>
    </w:tbl>
    <w:p>
      <w:pPr>
        <w:tabs>
          <w:tab w:val="left" w:pos="8610"/>
        </w:tabs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268"/>
        <w:gridCol w:w="311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6" w:hRule="atLeast"/>
        </w:trPr>
        <w:tc>
          <w:tcPr>
            <w:tcW w:w="1555" w:type="dxa"/>
            <w:shd w:val="clear" w:color="auto" w:fill="C5E0B3" w:themeFill="accent6" w:themeFillTint="66"/>
            <w:vAlign w:val="center"/>
          </w:tcPr>
          <w:p>
            <w:pPr>
              <w:pStyle w:val="16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sym w:font="Wingdings" w:char="F0FE"/>
            </w: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Sí procede SDT</w:t>
            </w:r>
          </w:p>
        </w:tc>
        <w:tc>
          <w:tcPr>
            <w:tcW w:w="2268" w:type="dxa"/>
            <w:vAlign w:val="center"/>
          </w:tcPr>
          <w:p>
            <w:pPr>
              <w:pStyle w:val="16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Cuando en el certificado del MRC  </w:t>
            </w:r>
          </w:p>
          <w:p>
            <w:pPr>
              <w:pStyle w:val="16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Sí</w:t>
            </w:r>
            <w:r>
              <w:rPr>
                <w:i/>
                <w:color w:val="000000" w:themeColor="text1"/>
                <w:sz w:val="24"/>
                <w:szCs w:val="24"/>
                <w:u w:val="single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proporciona</w:t>
            </w: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la información necesaria para el SDT</w:t>
            </w:r>
          </w:p>
        </w:tc>
        <w:tc>
          <w:tcPr>
            <w:tcW w:w="3118" w:type="dxa"/>
            <w:vAlign w:val="center"/>
          </w:tcPr>
          <w:p>
            <w:pPr>
              <w:pStyle w:val="16"/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Por ejemplo, en la sección de:</w:t>
            </w:r>
          </w:p>
          <w:p>
            <w:pPr>
              <w:pStyle w:val="16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Trazabilidad </w:t>
            </w:r>
          </w:p>
          <w:p>
            <w:pPr>
              <w:pStyle w:val="16"/>
              <w:spacing w:after="0"/>
              <w:ind w:left="36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  <w:u w:val="single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Sí indica</w:t>
            </w: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el MRC y lote con el que se asignó el valor certificado en cantidad de sustancia.</w:t>
            </w:r>
          </w:p>
          <w:p>
            <w:pPr>
              <w:pStyle w:val="16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Sí indica</w:t>
            </w:r>
            <w:r>
              <w:rPr>
                <w:i/>
                <w:i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que es homogéneo y estable.  </w:t>
            </w:r>
          </w:p>
          <w:p>
            <w:pPr>
              <w:pStyle w:val="16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Sí indica</w:t>
            </w: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la incertidumbre determinada.</w:t>
            </w:r>
          </w:p>
          <w:p>
            <w:pPr>
              <w:pStyle w:val="16"/>
              <w:spacing w:after="0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6"/>
              <w:jc w:val="center"/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Continuar en  </w:t>
            </w:r>
          </w:p>
          <w:p>
            <w:pPr>
              <w:pStyle w:val="16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SECCIÓN A</w:t>
            </w:r>
            <w:r>
              <w:rPr>
                <w:rFonts w:eastAsiaTheme="majorEastAsia"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Formato 600-AC-FO.074</w:t>
            </w:r>
          </w:p>
        </w:tc>
      </w:tr>
    </w:tbl>
    <w:p>
      <w:pPr>
        <w:tabs>
          <w:tab w:val="left" w:pos="8610"/>
        </w:tabs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spacing w:after="160" w:line="259" w:lineRule="auto"/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8610"/>
        </w:tabs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spacing w:after="160" w:line="259" w:lineRule="auto"/>
        <w:jc w:val="center"/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>SECCIÓN D</w:t>
      </w:r>
    </w:p>
    <w:p>
      <w:pPr>
        <w:spacing w:after="160" w:line="259" w:lineRule="auto"/>
        <w:jc w:val="center"/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 xml:space="preserve">Casos donde se identifica que </w:t>
      </w:r>
      <w:r>
        <w:rPr>
          <w:rFonts w:eastAsiaTheme="majorEastAsia"/>
          <w:b/>
          <w:i/>
          <w:iCs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>No procede</w:t>
      </w:r>
      <w:r>
        <w:rPr>
          <w:rFonts w:eastAsiaTheme="majorEastAsia"/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t xml:space="preserve"> solicitar el servicio de dictamen de trazabilidad, debido a las siguientes situaciones:</w:t>
      </w:r>
    </w:p>
    <w:tbl>
      <w:tblPr>
        <w:tblStyle w:val="17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976"/>
        <w:gridCol w:w="283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pStyle w:val="16"/>
              <w:jc w:val="center"/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D1</w:t>
            </w:r>
          </w:p>
        </w:tc>
        <w:tc>
          <w:tcPr>
            <w:tcW w:w="29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4"/>
                <w:u w:val="single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Tipo de documento de respaldo, </w:t>
            </w:r>
            <w:r>
              <w:rPr>
                <w:color w:val="000000" w:themeColor="text1"/>
                <w:sz w:val="24"/>
                <w:szCs w:val="24"/>
                <w:u w:val="single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o información relevante faltante como: </w:t>
            </w:r>
          </w:p>
          <w:p>
            <w:pPr>
              <w:pStyle w:val="20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la incertidumbre de medición, </w:t>
            </w:r>
          </w:p>
          <w:p>
            <w:pPr>
              <w:pStyle w:val="20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la CMC de respaldo al cual es trazable, </w:t>
            </w:r>
          </w:p>
          <w:p>
            <w:pPr>
              <w:pStyle w:val="20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la aplicación diferente e inadecuada para el propósito</w:t>
            </w:r>
          </w:p>
          <w:p>
            <w:pPr>
              <w:pStyle w:val="20"/>
              <w:numPr>
                <w:ilvl w:val="1"/>
                <w:numId w:val="5"/>
              </w:numP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u w:val="single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por ejemplo</w:t>
            </w:r>
            <w:r>
              <w:rPr>
                <w:color w:val="000000" w:themeColor="text1"/>
                <w:sz w:val="24"/>
                <w:szCs w:val="24"/>
                <w:highlight w:val="yellow"/>
                <w:u w:val="single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color w:val="000000" w:themeColor="text1"/>
                <w:sz w:val="24"/>
                <w:szCs w:val="24"/>
                <w:u w:val="single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pretender usar una CMC binaria para soportar un MRC multicomponente para otra aplicación.</w:t>
            </w: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20"/>
              <w:ind w:left="360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Merge w:val="restart"/>
          </w:tcPr>
          <w:p>
            <w:pPr>
              <w:pStyle w:val="20"/>
              <w:tabs>
                <w:tab w:val="left" w:pos="8610"/>
              </w:tabs>
              <w:ind w:left="360"/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0"/>
              <w:tabs>
                <w:tab w:val="left" w:pos="8610"/>
              </w:tabs>
              <w:ind w:left="360"/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8610"/>
              </w:tabs>
              <w:rPr>
                <w:color w:val="000000" w:themeColor="text1"/>
                <w:u w:val="single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u w:val="single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A falta de información relevante se dará por concluido el dictamen como:</w:t>
            </w:r>
          </w:p>
          <w:p>
            <w:pPr>
              <w:tabs>
                <w:tab w:val="left" w:pos="8610"/>
              </w:tabs>
              <w:rPr>
                <w:color w:val="000000" w:themeColor="text1"/>
                <w:u w:val="single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8610"/>
              </w:tabs>
              <w:rPr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u w:val="single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No trazable y se cobrarán las horas invertidas en el servicio que correspondan hasta ese momento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16"/>
              <w:jc w:val="center"/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No continuar con el proceso.</w:t>
            </w:r>
          </w:p>
          <w:p>
            <w:pPr>
              <w:pStyle w:val="16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pStyle w:val="16"/>
              <w:jc w:val="center"/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sym w:font="Wingdings" w:char="F0FD"/>
            </w: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No procede SDT</w:t>
            </w:r>
          </w:p>
        </w:tc>
        <w:tc>
          <w:tcPr>
            <w:tcW w:w="29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Merge w:val="continue"/>
          </w:tcPr>
          <w:p>
            <w:pPr>
              <w:pStyle w:val="20"/>
              <w:tabs>
                <w:tab w:val="left" w:pos="8610"/>
              </w:tabs>
              <w:ind w:left="360"/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16"/>
              <w:jc w:val="center"/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8610"/>
        </w:tabs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tabs>
          <w:tab w:val="left" w:pos="8610"/>
        </w:tabs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976"/>
        <w:gridCol w:w="283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pStyle w:val="16"/>
              <w:jc w:val="center"/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D2</w:t>
            </w:r>
          </w:p>
        </w:tc>
        <w:tc>
          <w:tcPr>
            <w:tcW w:w="29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16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Cuando el documento que proporciona el productor comercial de la sustancia es </w:t>
            </w: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un certificado de análisis</w:t>
            </w: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</w:p>
        </w:tc>
        <w:tc>
          <w:tcPr>
            <w:tcW w:w="2835" w:type="dxa"/>
            <w:vMerge w:val="restart"/>
          </w:tcPr>
          <w:p>
            <w:pPr>
              <w:tabs>
                <w:tab w:val="left" w:pos="8610"/>
              </w:tabs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DEBIDO A QUE LA SUSTANCIA NO ES UN MATERIAL DE REFERENCIA CERTIFICADO </w:t>
            </w:r>
          </w:p>
          <w:p>
            <w:pPr>
              <w:pStyle w:val="20"/>
              <w:tabs>
                <w:tab w:val="left" w:pos="8610"/>
              </w:tabs>
              <w:ind w:left="360"/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8610"/>
              </w:tabs>
              <w:rPr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Porque es un reactivo químico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16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No continuar con el proceso.</w:t>
            </w:r>
            <w:r>
              <w:rPr>
                <w:rFonts w:eastAsiaTheme="majorEastAsia"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pStyle w:val="16"/>
              <w:jc w:val="center"/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sym w:font="Wingdings" w:char="F0FD"/>
            </w: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No procede SDT</w:t>
            </w:r>
          </w:p>
        </w:tc>
        <w:tc>
          <w:tcPr>
            <w:tcW w:w="29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6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Merge w:val="continue"/>
          </w:tcPr>
          <w:p>
            <w:pPr>
              <w:pStyle w:val="20"/>
              <w:tabs>
                <w:tab w:val="left" w:pos="8610"/>
              </w:tabs>
              <w:ind w:left="360"/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16"/>
              <w:jc w:val="center"/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8610"/>
        </w:tabs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tabs>
          <w:tab w:val="left" w:pos="8610"/>
        </w:tabs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tabs>
          <w:tab w:val="left" w:pos="8610"/>
        </w:tabs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976"/>
        <w:gridCol w:w="283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555" w:type="dxa"/>
            <w:shd w:val="clear" w:color="auto" w:fill="F7CAAC" w:themeFill="accent2" w:themeFillTint="66"/>
            <w:vAlign w:val="center"/>
          </w:tcPr>
          <w:p>
            <w:pPr>
              <w:pStyle w:val="16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D3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pStyle w:val="16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Cuando el </w:t>
            </w: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uso que dará al MRC</w:t>
            </w: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no es como calibrador ni como material de control. </w:t>
            </w:r>
          </w:p>
        </w:tc>
        <w:tc>
          <w:tcPr>
            <w:tcW w:w="2835" w:type="dxa"/>
            <w:vMerge w:val="restart"/>
          </w:tcPr>
          <w:p>
            <w:pPr>
              <w:tabs>
                <w:tab w:val="left" w:pos="8610"/>
              </w:tabs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DEBIDO AL USO QUE DARÁ AL MATERIAL DE REFERENCIA CERTIFICADO</w:t>
            </w:r>
          </w:p>
          <w:p>
            <w:pPr>
              <w:pStyle w:val="20"/>
              <w:tabs>
                <w:tab w:val="left" w:pos="8610"/>
              </w:tabs>
              <w:ind w:left="360"/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0"/>
              <w:numPr>
                <w:ilvl w:val="0"/>
                <w:numId w:val="4"/>
              </w:numPr>
              <w:tabs>
                <w:tab w:val="left" w:pos="8610"/>
              </w:tabs>
              <w:rPr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Porque será utilizado para calificación de equipo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16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No continuar con el proceso.</w:t>
            </w:r>
            <w:r>
              <w:rPr>
                <w:rFonts w:eastAsiaTheme="majorEastAsia"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555" w:type="dxa"/>
            <w:shd w:val="clear" w:color="auto" w:fill="F7CAAC" w:themeFill="accent2" w:themeFillTint="66"/>
            <w:vAlign w:val="center"/>
          </w:tcPr>
          <w:p>
            <w:pPr>
              <w:pStyle w:val="16"/>
              <w:jc w:val="center"/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sym w:font="Wingdings" w:char="F0FD"/>
            </w: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No procede SDT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pStyle w:val="16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Merge w:val="continue"/>
          </w:tcPr>
          <w:p>
            <w:pPr>
              <w:pStyle w:val="20"/>
              <w:tabs>
                <w:tab w:val="left" w:pos="8610"/>
              </w:tabs>
              <w:ind w:left="360"/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16"/>
              <w:jc w:val="center"/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8610"/>
        </w:tabs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tabs>
          <w:tab w:val="left" w:pos="8610"/>
        </w:tabs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tbl>
      <w:tblPr>
        <w:tblStyle w:val="17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976"/>
        <w:gridCol w:w="283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55" w:type="dxa"/>
            <w:shd w:val="clear" w:color="auto" w:fill="F7CAAC" w:themeFill="accent2" w:themeFillTint="66"/>
            <w:vAlign w:val="center"/>
          </w:tcPr>
          <w:p>
            <w:pPr>
              <w:pStyle w:val="16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D4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pStyle w:val="16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Cuando ya existe un DT concluido o en proceso, en el año fiscal para el mismo</w:t>
            </w: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MRC</w:t>
            </w:r>
            <w:r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</w:p>
        </w:tc>
        <w:tc>
          <w:tcPr>
            <w:tcW w:w="2835" w:type="dxa"/>
            <w:vMerge w:val="restart"/>
          </w:tcPr>
          <w:p>
            <w:pPr>
              <w:tabs>
                <w:tab w:val="left" w:pos="8610"/>
              </w:tabs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DEBIDO A QUE EL PROCESO PARA DECLARAR NUEVAS O ACTUALIZADAS CMC ES ANUAL</w:t>
            </w:r>
          </w:p>
          <w:p>
            <w:pPr>
              <w:pStyle w:val="20"/>
              <w:tabs>
                <w:tab w:val="left" w:pos="8610"/>
              </w:tabs>
              <w:ind w:left="360"/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8610"/>
              </w:tabs>
              <w:rPr>
                <w:bCs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16"/>
              <w:jc w:val="center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No continuar con el proceso.</w:t>
            </w:r>
            <w:r>
              <w:rPr>
                <w:rFonts w:eastAsiaTheme="majorEastAsia"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555" w:type="dxa"/>
            <w:shd w:val="clear" w:color="auto" w:fill="F7CAAC" w:themeFill="accent2" w:themeFillTint="66"/>
            <w:vAlign w:val="center"/>
          </w:tcPr>
          <w:p>
            <w:pPr>
              <w:pStyle w:val="16"/>
              <w:jc w:val="center"/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sym w:font="Wingdings" w:char="F0FD"/>
            </w:r>
            <w:r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 No procede SDT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pStyle w:val="16"/>
              <w:rPr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Merge w:val="continue"/>
          </w:tcPr>
          <w:p>
            <w:pPr>
              <w:pStyle w:val="20"/>
              <w:tabs>
                <w:tab w:val="left" w:pos="8610"/>
              </w:tabs>
              <w:ind w:left="360"/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16"/>
              <w:jc w:val="center"/>
              <w:rPr>
                <w:b/>
                <w:color w:val="000000" w:themeColor="text1"/>
                <w:sz w:val="24"/>
                <w:szCs w:val="24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160" w:line="259" w:lineRule="auto"/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spacing w:after="160" w:line="259" w:lineRule="auto"/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spacing w:after="160" w:line="259" w:lineRule="auto"/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spacing w:after="160" w:line="259" w:lineRule="auto"/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spacing w:after="160" w:line="259" w:lineRule="auto"/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spacing w:after="160" w:line="259" w:lineRule="auto"/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spacing w:after="160" w:line="259" w:lineRule="auto"/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p>
      <w:pPr>
        <w:spacing w:after="160" w:line="259" w:lineRule="auto"/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8610"/>
        </w:tabs>
        <w:jc w:val="center"/>
        <w:rPr>
          <w:b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</w:pPr>
      <w:bookmarkStart w:id="0" w:name="_Hlk152252091"/>
      <w:r>
        <w:rPr>
          <w:b/>
          <w:color w:val="000000" w:themeColor="text1"/>
          <w:sz w:val="18"/>
          <w:szCs w:val="18"/>
          <w:highlight w:val="yellow"/>
          <w:lang w:val="es-MX" w:eastAsia="es-MX"/>
          <w14:textFill>
            <w14:solidFill>
              <w14:schemeClr w14:val="tx1"/>
            </w14:solidFill>
          </w14:textFill>
        </w:rPr>
        <w:t>SECCIÓN E.</w:t>
      </w:r>
      <w:r>
        <w:rPr>
          <w:b/>
          <w:color w:val="000000" w:themeColor="text1"/>
          <w:sz w:val="18"/>
          <w:szCs w:val="18"/>
          <w:lang w:val="es-MX" w:eastAsia="es-MX"/>
          <w14:textFill>
            <w14:solidFill>
              <w14:schemeClr w14:val="tx1"/>
            </w14:solidFill>
          </w14:textFill>
        </w:rPr>
        <w:t xml:space="preserve"> CATEGORIAS DE CANTIDAD DE SUSTANCIA</w:t>
      </w:r>
    </w:p>
    <w:tbl>
      <w:tblPr>
        <w:tblStyle w:val="4"/>
        <w:tblW w:w="9488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64"/>
        <w:gridCol w:w="996"/>
        <w:gridCol w:w="3399"/>
        <w:gridCol w:w="112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NOMBRE DE LA CATEGORÍA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NO. CATEGORÍA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NOMBRE DE LA CATEGORÍA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NO. CATEGORÍA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</w:tcPr>
          <w:p>
            <w:pP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Sustancias químicas de alta pureza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Fluidos y materiales biológicos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0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Compuestos inorgánicos 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1.1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Suero sanguíneo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10.1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Compuestos orgánicos 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Fluidos renales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10.2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3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Metales 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1.3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Cabello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10.3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2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Isotópicas 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1.4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Tejidos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10.4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4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Otras sustancias químicas 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Huesos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10.5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Disoluciones inorgánicas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Materiales botánicos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10.6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4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Elementales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2.1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Otros biológicos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10.7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Aniónicas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2.2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Alimentos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Otras disoluciones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2.3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Constituyentes nutricionales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11.1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Disoluciones orgánicas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Contaminantes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11.2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Hidrocarburos aromáticos policíclicos (PAH, siglas en inglés)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3.1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Organismos genéticamente modificados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11.3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Bifenilos policlorados (PCB por sus siglas en inglés)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3.2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Otros alimentos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11.4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Plaguicidas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3.3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Combustibles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2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Otras disoluciones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3.4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Carbón y coque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12.1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Gases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Productos del petróleo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12.2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2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Alta pureza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4.1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Biomasa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12.3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3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Ambientales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4.2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Otros combustibles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12.4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Combustibles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4.3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Sedimentos, suelos, minerales, y partículas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Forenses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4.4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Sedimentos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13.1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Medicinales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4.5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Suelos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13.2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Otros gases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4.6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Minerales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13.3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Agua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Partículas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13.4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Agua dulce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5.1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Otros suelos, sedimentos, minerales y partículas 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13.5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Agua contaminada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5.2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Otros materiales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6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Agua de mar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5.3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Cementos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14.1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Otras aguas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5.4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Pinturas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14.2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7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pH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Textiles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14.3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Conductividad electrolítica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Vidrios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14.4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Metales y aleaciones metálicas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Películas delgadas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14.5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Metales ferrosos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8.1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Recubrimientos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14.6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Metales no ferrosos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8.2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Materiales de aislamiento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14.7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Metales preciosos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8.3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Caucho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14.8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 xml:space="preserve">Otros metales y aleaciones 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8.4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Adhesivos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14.9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Materiales avanzados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noWrap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Otros materiales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14.1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Semiconductores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9.1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Superficies, películas, y nanomateriales artificiales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Superconductores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9.2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Inorgánicos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15.1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Polímeros y plásticos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9.3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Orgánicos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15.2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Cerámicos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9.4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Biomateriales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15.3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Otros materiales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9.5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Otras superficies, películas y nanomateriales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s-MX" w:eastAsia="es-MX"/>
                <w14:textFill>
                  <w14:solidFill>
                    <w14:schemeClr w14:val="tx1"/>
                  </w14:solidFill>
                </w14:textFill>
              </w:rPr>
              <w:t>15.4</w:t>
            </w:r>
          </w:p>
        </w:tc>
      </w:tr>
      <w:bookmarkEnd w:id="0"/>
    </w:tbl>
    <w:p>
      <w:pPr>
        <w:tabs>
          <w:tab w:val="left" w:pos="8610"/>
        </w:tabs>
        <w:rPr>
          <w:b/>
          <w:color w:val="000000" w:themeColor="text1"/>
          <w:sz w:val="24"/>
          <w:szCs w:val="24"/>
          <w:lang w:val="es-MX" w:eastAsia="es-MX"/>
          <w14:textFill>
            <w14:solidFill>
              <w14:schemeClr w14:val="tx1"/>
            </w14:solidFill>
          </w14:textFill>
        </w:rPr>
      </w:pPr>
    </w:p>
    <w:sectPr>
      <w:headerReference r:id="rId5" w:type="default"/>
      <w:footerReference r:id="rId6" w:type="default"/>
      <w:pgSz w:w="12240" w:h="15840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1" w:usb3="00000000" w:csb0="0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5820"/>
      </w:tabs>
    </w:pPr>
    <w:r>
      <w:rPr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-29210</wp:posOffset>
              </wp:positionH>
              <wp:positionV relativeFrom="paragraph">
                <wp:posOffset>88900</wp:posOffset>
              </wp:positionV>
              <wp:extent cx="5991225" cy="45720"/>
              <wp:effectExtent l="0" t="0" r="28575" b="31115"/>
              <wp:wrapNone/>
              <wp:docPr id="1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319" cy="45719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9" o:spid="_x0000_s1026" o:spt="32" type="#_x0000_t32" style="position:absolute;left:0pt;margin-left:-2.3pt;margin-top:7pt;height:3.6pt;width:471.75pt;z-index:251661312;mso-width-relative:page;mso-height-relative:page;" filled="f" stroked="t" coordsize="21600,21600" o:gfxdata="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PxlSM1QAAAAgBAAAPAAAAAAAAAAEA&#10;IAAAACIAAABkcnMvZG93bnJldi54bWxQSwECFAAUAAAACACHTuJAIXwnbNkBAAC3AwAADgAAAAAA&#10;AAABACAAAAAkAQAAZHJzL2Uyb0RvYy54bWxQSwUGAAAAAAYABgBZAQAAbwUAAAAA&#10;">
              <v:fill on="f" focussize="0,0"/>
              <v:stroke weight="1.5pt" color="#000000" joinstyle="round"/>
              <v:imagedata o:title=""/>
              <o:lock v:ext="edit" aspectratio="f"/>
            </v:shape>
          </w:pict>
        </mc:Fallback>
      </mc:AlternateContent>
    </w:r>
  </w:p>
  <w:p>
    <w:pPr>
      <w:tabs>
        <w:tab w:val="center" w:pos="5820"/>
      </w:tabs>
      <w:jc w:val="center"/>
      <w:rPr>
        <w:sz w:val="16"/>
        <w:szCs w:val="16"/>
        <w:lang w:val="es-MX"/>
      </w:rPr>
    </w:pPr>
    <w:r>
      <w:rPr>
        <w:sz w:val="16"/>
        <w:szCs w:val="16"/>
        <w:lang w:val="es-MX"/>
      </w:rPr>
      <w:t>km 4.5 carretera a Los Cués, Municipio. El Marqués, Qro. C.P. 76246. Tel. (442) 211 0500 al 04 ext. 3006</w:t>
    </w:r>
  </w:p>
  <w:p>
    <w:pPr>
      <w:tabs>
        <w:tab w:val="center" w:pos="5820"/>
      </w:tabs>
      <w:jc w:val="center"/>
      <w:rPr>
        <w:sz w:val="16"/>
        <w:szCs w:val="16"/>
        <w:lang w:val="es-MX"/>
      </w:rPr>
    </w:pPr>
    <w:r>
      <w:rPr>
        <w:sz w:val="16"/>
        <w:szCs w:val="16"/>
        <w:lang w:val="es-MX"/>
      </w:rPr>
      <w:t>Correo electrónico: servtec@cenam.mx, página web: http://www.cenam.mx</w:t>
    </w:r>
  </w:p>
  <w:p>
    <w:pPr>
      <w:tabs>
        <w:tab w:val="center" w:pos="5580"/>
        <w:tab w:val="right" w:pos="11400"/>
      </w:tabs>
      <w:jc w:val="right"/>
      <w:rPr>
        <w:rFonts w:cs="Arial"/>
        <w:sz w:val="16"/>
        <w:szCs w:val="16"/>
        <w:lang w:val="es-MX"/>
      </w:rPr>
    </w:pPr>
    <w:r>
      <w:rPr>
        <w:lang w:val="es-MX"/>
      </w:rPr>
      <w:tab/>
    </w:r>
    <w:r>
      <w:rPr>
        <w:sz w:val="16"/>
        <w:szCs w:val="16"/>
        <w:lang w:val="es-MX"/>
      </w:rPr>
      <w:t xml:space="preserve">Página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  <w:lang w:val="es-ES"/>
      </w:rPr>
      <w:instrText xml:space="preserve">P</w:instrText>
    </w:r>
    <w:r>
      <w:rPr>
        <w:rFonts w:cs="Arial"/>
        <w:sz w:val="16"/>
        <w:szCs w:val="16"/>
        <w:lang w:val="es-MX"/>
      </w:rPr>
      <w:instrText xml:space="preserve">AGE \* ARABIC</w:instrText>
    </w:r>
    <w:r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  <w:lang w:val="es-ES"/>
      </w:rPr>
      <w:t>7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  <w:lang w:val="es-MX"/>
      </w:rPr>
      <w:t xml:space="preserve"> de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  <w:lang w:val="es-MX"/>
      </w:rPr>
      <w:instrText xml:space="preserve"> SECTIONPAGES  \* Arabic </w:instrText>
    </w:r>
    <w:r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  <w:lang w:val="es-MX"/>
      </w:rPr>
      <w:t>11</w:t>
    </w:r>
    <w:r>
      <w:rPr>
        <w:rFonts w:cs="Arial"/>
        <w:sz w:val="16"/>
        <w:szCs w:val="16"/>
      </w:rPr>
      <w:fldChar w:fldCharType="end"/>
    </w:r>
  </w:p>
  <w:p>
    <w:pPr>
      <w:pStyle w:val="14"/>
      <w:ind w:left="-794" w:right="-794"/>
      <w:jc w:val="both"/>
      <w:rPr>
        <w:rFonts w:ascii="Arial" w:hAnsi="Arial"/>
        <w:sz w:val="16"/>
        <w:lang w:val="es-MX"/>
      </w:rPr>
    </w:pPr>
    <w:r>
      <w:rPr>
        <w:rFonts w:ascii="Arial" w:hAnsi="Arial"/>
        <w:sz w:val="16"/>
        <w:lang w:val="es-MX"/>
      </w:rPr>
      <w:t>600-AC-FO.074</w:t>
    </w:r>
    <w:r>
      <w:rPr>
        <w:rFonts w:ascii="Arial" w:hAnsi="Arial"/>
        <w:sz w:val="16"/>
        <w:lang w:val="es-MX"/>
      </w:rPr>
      <w:tab/>
    </w:r>
    <w:r>
      <w:rPr>
        <w:rFonts w:ascii="Arial" w:hAnsi="Arial"/>
        <w:sz w:val="16"/>
        <w:lang w:val="es-MX"/>
      </w:rPr>
      <w:t xml:space="preserve">Ver. </w:t>
    </w:r>
    <w:r>
      <w:rPr>
        <w:rFonts w:ascii="Arial" w:hAnsi="Arial"/>
        <w:sz w:val="16"/>
        <w:highlight w:val="green"/>
        <w:lang w:val="es-MX"/>
      </w:rPr>
      <w:t>1.4</w:t>
    </w:r>
    <w:r>
      <w:rPr>
        <w:rFonts w:ascii="Arial" w:hAnsi="Arial"/>
        <w:sz w:val="16"/>
        <w:lang w:val="es-MX"/>
      </w:rPr>
      <w:t xml:space="preserve"> </w:t>
    </w:r>
    <w:r>
      <w:rPr>
        <w:rFonts w:ascii="Arial" w:hAnsi="Arial"/>
        <w:sz w:val="16"/>
        <w:lang w:val="es-MX"/>
      </w:rPr>
      <w:tab/>
    </w:r>
    <w:r>
      <w:rPr>
        <w:rFonts w:ascii="Arial" w:hAnsi="Arial"/>
        <w:sz w:val="16"/>
        <w:lang w:val="es-MX"/>
      </w:rPr>
      <w:t>Ref. 600-AC-P.179</w:t>
    </w:r>
  </w:p>
  <w:p>
    <w:pPr>
      <w:tabs>
        <w:tab w:val="center" w:pos="5580"/>
        <w:tab w:val="right" w:pos="11400"/>
      </w:tabs>
      <w:rPr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00"/>
        <w:tab w:val="left" w:pos="144"/>
      </w:tabs>
      <w:jc w:val="right"/>
      <w:rPr>
        <w:rFonts w:ascii="Arial" w:hAnsi="Arial" w:cs="Arial"/>
        <w:b/>
        <w:lang w:val="es-MX"/>
      </w:rPr>
    </w:pPr>
    <w:r>
      <w:rPr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-125730</wp:posOffset>
          </wp:positionH>
          <wp:positionV relativeFrom="page">
            <wp:posOffset>205105</wp:posOffset>
          </wp:positionV>
          <wp:extent cx="1310005" cy="567690"/>
          <wp:effectExtent l="0" t="0" r="4445" b="381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0005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tabs>
        <w:tab w:val="left" w:pos="100"/>
        <w:tab w:val="left" w:pos="144"/>
      </w:tabs>
      <w:jc w:val="right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>CENTRO NACIONAL DE METROLOGÍA</w:t>
    </w:r>
  </w:p>
  <w:p>
    <w:pPr>
      <w:tabs>
        <w:tab w:val="left" w:pos="100"/>
        <w:tab w:val="left" w:pos="144"/>
      </w:tabs>
      <w:jc w:val="right"/>
      <w:rPr>
        <w:lang w:val="es-MX"/>
      </w:rPr>
    </w:pPr>
    <w:r>
      <w:rPr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1235075</wp:posOffset>
              </wp:positionH>
              <wp:positionV relativeFrom="paragraph">
                <wp:posOffset>6985</wp:posOffset>
              </wp:positionV>
              <wp:extent cx="4927600" cy="45720"/>
              <wp:effectExtent l="0" t="0" r="25400" b="31115"/>
              <wp:wrapNone/>
              <wp:docPr id="2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27666" cy="45719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6" o:spid="_x0000_s1026" o:spt="32" type="#_x0000_t32" style="position:absolute;left:0pt;flip:y;margin-left:97.25pt;margin-top:0.55pt;height:3.6pt;width:388pt;z-index:251659264;mso-width-relative:page;mso-height-relative:page;" filled="f" stroked="t" coordsize="21600,21600" o:gfxdata="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SRoxtYAAAAHAQAADwAA&#10;AAAAAAABACAAAAAiAAAAZHJzL2Rvd25yZXYueG1sUEsBAhQAFAAAAAgAh07iQPL4cBDfAQAAwQMA&#10;AA4AAAAAAAAAAQAgAAAAJQEAAGRycy9lMm9Eb2MueG1sUEsFBgAAAAAGAAYAWQEAAHYFAAAAAA==&#10;">
              <v:fill on="f" focussize="0,0"/>
              <v:stroke weight="1.5pt" color="#000000" joinstyle="round"/>
              <v:imagedata o:title=""/>
              <o:lock v:ext="edit" aspectratio="f"/>
            </v:shape>
          </w:pict>
        </mc:Fallback>
      </mc:AlternateContent>
    </w:r>
  </w:p>
  <w:p>
    <w:pPr>
      <w:rPr>
        <w:lang w:val="es-MX"/>
      </w:rPr>
    </w:pPr>
  </w:p>
  <w:p>
    <w:pPr>
      <w:jc w:val="center"/>
      <w:rPr>
        <w:rFonts w:ascii="Arial" w:hAnsi="Arial" w:cs="Arial"/>
        <w:b/>
        <w:sz w:val="22"/>
        <w:szCs w:val="24"/>
        <w:lang w:val="es-MX"/>
      </w:rPr>
    </w:pPr>
    <w:r>
      <w:rPr>
        <w:rFonts w:ascii="Arial" w:hAnsi="Arial" w:cs="Arial"/>
        <w:b/>
        <w:sz w:val="22"/>
        <w:szCs w:val="24"/>
        <w:lang w:val="es-MX"/>
      </w:rPr>
      <w:t xml:space="preserve">SERVICIO DE DICTAMEN DE TRAZABILIDAD HACIA PATRONES NACIONALES O EXTRANJEROS </w:t>
    </w:r>
  </w:p>
  <w:p>
    <w:pPr>
      <w:jc w:val="center"/>
      <w:rPr>
        <w:rFonts w:ascii="Arial" w:hAnsi="Arial" w:cs="Arial"/>
        <w:b/>
        <w:sz w:val="22"/>
        <w:szCs w:val="24"/>
        <w:lang w:val="es-MX"/>
      </w:rPr>
    </w:pPr>
    <w:r>
      <w:rPr>
        <w:rFonts w:ascii="Arial" w:hAnsi="Arial" w:cs="Arial"/>
        <w:b/>
        <w:sz w:val="22"/>
        <w:szCs w:val="24"/>
        <w:lang w:val="es-MX"/>
      </w:rPr>
      <w:t>MATERIALES DE REFERENCIA CERTIFICADOS (MRC)</w:t>
    </w:r>
  </w:p>
  <w:p>
    <w:pPr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3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D330718"/>
    <w:multiLevelType w:val="multilevel"/>
    <w:tmpl w:val="0D330718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12894EF7"/>
    <w:multiLevelType w:val="multilevel"/>
    <w:tmpl w:val="12894EF7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3DBD4C10"/>
    <w:multiLevelType w:val="multilevel"/>
    <w:tmpl w:val="3DBD4C10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770709CC"/>
    <w:multiLevelType w:val="multilevel"/>
    <w:tmpl w:val="770709CC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2D"/>
    <w:rsid w:val="000002C1"/>
    <w:rsid w:val="000053F4"/>
    <w:rsid w:val="00013F0B"/>
    <w:rsid w:val="00023A86"/>
    <w:rsid w:val="000452E2"/>
    <w:rsid w:val="000531E8"/>
    <w:rsid w:val="000541B7"/>
    <w:rsid w:val="00087709"/>
    <w:rsid w:val="00093ABD"/>
    <w:rsid w:val="00094981"/>
    <w:rsid w:val="000977B3"/>
    <w:rsid w:val="000A5073"/>
    <w:rsid w:val="000B0229"/>
    <w:rsid w:val="000B56C1"/>
    <w:rsid w:val="000D2941"/>
    <w:rsid w:val="000F6E8A"/>
    <w:rsid w:val="001066B7"/>
    <w:rsid w:val="0012177A"/>
    <w:rsid w:val="0012492A"/>
    <w:rsid w:val="00125269"/>
    <w:rsid w:val="00126524"/>
    <w:rsid w:val="00155C5D"/>
    <w:rsid w:val="0015790A"/>
    <w:rsid w:val="00176060"/>
    <w:rsid w:val="00176E19"/>
    <w:rsid w:val="00177210"/>
    <w:rsid w:val="001842F9"/>
    <w:rsid w:val="00193584"/>
    <w:rsid w:val="001A414F"/>
    <w:rsid w:val="001A6601"/>
    <w:rsid w:val="001A7D43"/>
    <w:rsid w:val="001C2D66"/>
    <w:rsid w:val="001C444A"/>
    <w:rsid w:val="001E2349"/>
    <w:rsid w:val="002074E2"/>
    <w:rsid w:val="00224076"/>
    <w:rsid w:val="00233A22"/>
    <w:rsid w:val="00283F93"/>
    <w:rsid w:val="002A09D4"/>
    <w:rsid w:val="002A2E9C"/>
    <w:rsid w:val="002B0D60"/>
    <w:rsid w:val="002C4076"/>
    <w:rsid w:val="002C56CB"/>
    <w:rsid w:val="002C68A0"/>
    <w:rsid w:val="002D3434"/>
    <w:rsid w:val="002F00A8"/>
    <w:rsid w:val="003169C8"/>
    <w:rsid w:val="00320159"/>
    <w:rsid w:val="00323005"/>
    <w:rsid w:val="003428E0"/>
    <w:rsid w:val="00354947"/>
    <w:rsid w:val="00356BC6"/>
    <w:rsid w:val="00361D0E"/>
    <w:rsid w:val="00375FA2"/>
    <w:rsid w:val="003927A1"/>
    <w:rsid w:val="0039397B"/>
    <w:rsid w:val="003975D0"/>
    <w:rsid w:val="003A0FAA"/>
    <w:rsid w:val="003A48D4"/>
    <w:rsid w:val="003D70D1"/>
    <w:rsid w:val="003D70F8"/>
    <w:rsid w:val="003D7641"/>
    <w:rsid w:val="00407C83"/>
    <w:rsid w:val="00421C80"/>
    <w:rsid w:val="00425DA2"/>
    <w:rsid w:val="004279CF"/>
    <w:rsid w:val="00450D30"/>
    <w:rsid w:val="00463771"/>
    <w:rsid w:val="004704CD"/>
    <w:rsid w:val="0048145C"/>
    <w:rsid w:val="00482616"/>
    <w:rsid w:val="00485CB3"/>
    <w:rsid w:val="0048688B"/>
    <w:rsid w:val="00486DF1"/>
    <w:rsid w:val="00495308"/>
    <w:rsid w:val="004A388E"/>
    <w:rsid w:val="004B05FA"/>
    <w:rsid w:val="004C0110"/>
    <w:rsid w:val="004D3AE6"/>
    <w:rsid w:val="004E02BB"/>
    <w:rsid w:val="004E0B7B"/>
    <w:rsid w:val="005065AC"/>
    <w:rsid w:val="005068D0"/>
    <w:rsid w:val="00517398"/>
    <w:rsid w:val="0052065B"/>
    <w:rsid w:val="005207F6"/>
    <w:rsid w:val="0052697A"/>
    <w:rsid w:val="00534F58"/>
    <w:rsid w:val="00536481"/>
    <w:rsid w:val="00547716"/>
    <w:rsid w:val="00547DF2"/>
    <w:rsid w:val="005619A6"/>
    <w:rsid w:val="005619AD"/>
    <w:rsid w:val="005753E2"/>
    <w:rsid w:val="00587149"/>
    <w:rsid w:val="0059714F"/>
    <w:rsid w:val="005B00F1"/>
    <w:rsid w:val="005B5F1B"/>
    <w:rsid w:val="005C29AD"/>
    <w:rsid w:val="005C3113"/>
    <w:rsid w:val="005F2903"/>
    <w:rsid w:val="00602721"/>
    <w:rsid w:val="0060759F"/>
    <w:rsid w:val="006314DE"/>
    <w:rsid w:val="00633CA7"/>
    <w:rsid w:val="00642FE9"/>
    <w:rsid w:val="006433A0"/>
    <w:rsid w:val="00645AE7"/>
    <w:rsid w:val="00653600"/>
    <w:rsid w:val="00662F75"/>
    <w:rsid w:val="00667CAA"/>
    <w:rsid w:val="0067513A"/>
    <w:rsid w:val="00675F50"/>
    <w:rsid w:val="00685394"/>
    <w:rsid w:val="006855A5"/>
    <w:rsid w:val="006A0EA9"/>
    <w:rsid w:val="006C1105"/>
    <w:rsid w:val="006D3757"/>
    <w:rsid w:val="006E2797"/>
    <w:rsid w:val="00702012"/>
    <w:rsid w:val="007060B4"/>
    <w:rsid w:val="00714D55"/>
    <w:rsid w:val="00717A7D"/>
    <w:rsid w:val="007226FB"/>
    <w:rsid w:val="0073049A"/>
    <w:rsid w:val="0073133B"/>
    <w:rsid w:val="00734C5A"/>
    <w:rsid w:val="00740EF0"/>
    <w:rsid w:val="00743E00"/>
    <w:rsid w:val="00746E6C"/>
    <w:rsid w:val="007541E4"/>
    <w:rsid w:val="00763155"/>
    <w:rsid w:val="007715F4"/>
    <w:rsid w:val="0077421A"/>
    <w:rsid w:val="00775442"/>
    <w:rsid w:val="007756A5"/>
    <w:rsid w:val="00775C47"/>
    <w:rsid w:val="0078303C"/>
    <w:rsid w:val="007920C3"/>
    <w:rsid w:val="00797BCF"/>
    <w:rsid w:val="007A1F40"/>
    <w:rsid w:val="007A7BF0"/>
    <w:rsid w:val="007D5AD5"/>
    <w:rsid w:val="007E6487"/>
    <w:rsid w:val="007F011F"/>
    <w:rsid w:val="008112BC"/>
    <w:rsid w:val="00812EA6"/>
    <w:rsid w:val="00822317"/>
    <w:rsid w:val="0082427A"/>
    <w:rsid w:val="008330BE"/>
    <w:rsid w:val="008424B9"/>
    <w:rsid w:val="00845274"/>
    <w:rsid w:val="00846052"/>
    <w:rsid w:val="008504EF"/>
    <w:rsid w:val="008505C9"/>
    <w:rsid w:val="00856B7E"/>
    <w:rsid w:val="00895017"/>
    <w:rsid w:val="008A070F"/>
    <w:rsid w:val="008B1941"/>
    <w:rsid w:val="008C24E5"/>
    <w:rsid w:val="008C36E3"/>
    <w:rsid w:val="008C37B1"/>
    <w:rsid w:val="008C4028"/>
    <w:rsid w:val="008E3151"/>
    <w:rsid w:val="008F46DC"/>
    <w:rsid w:val="0090270B"/>
    <w:rsid w:val="009078F0"/>
    <w:rsid w:val="009111B6"/>
    <w:rsid w:val="00911A26"/>
    <w:rsid w:val="00921843"/>
    <w:rsid w:val="00923988"/>
    <w:rsid w:val="00927C49"/>
    <w:rsid w:val="00942D1B"/>
    <w:rsid w:val="00956033"/>
    <w:rsid w:val="00963A2D"/>
    <w:rsid w:val="00967145"/>
    <w:rsid w:val="00970CD4"/>
    <w:rsid w:val="00974346"/>
    <w:rsid w:val="00982ED4"/>
    <w:rsid w:val="0098762A"/>
    <w:rsid w:val="00994583"/>
    <w:rsid w:val="009B5CD0"/>
    <w:rsid w:val="009D3855"/>
    <w:rsid w:val="009F02FB"/>
    <w:rsid w:val="00A05051"/>
    <w:rsid w:val="00A10073"/>
    <w:rsid w:val="00A156D8"/>
    <w:rsid w:val="00A37EF8"/>
    <w:rsid w:val="00A40E6F"/>
    <w:rsid w:val="00A524AC"/>
    <w:rsid w:val="00A63D6D"/>
    <w:rsid w:val="00A70D68"/>
    <w:rsid w:val="00A735D7"/>
    <w:rsid w:val="00A77DF9"/>
    <w:rsid w:val="00A8001F"/>
    <w:rsid w:val="00A8014A"/>
    <w:rsid w:val="00AC53D7"/>
    <w:rsid w:val="00AC5ECB"/>
    <w:rsid w:val="00AE2AF3"/>
    <w:rsid w:val="00B04DEB"/>
    <w:rsid w:val="00B0580D"/>
    <w:rsid w:val="00B0649A"/>
    <w:rsid w:val="00B172D8"/>
    <w:rsid w:val="00B17FE7"/>
    <w:rsid w:val="00B25E7B"/>
    <w:rsid w:val="00B6115F"/>
    <w:rsid w:val="00B65E7E"/>
    <w:rsid w:val="00B7670A"/>
    <w:rsid w:val="00B8312D"/>
    <w:rsid w:val="00B967C2"/>
    <w:rsid w:val="00BB101D"/>
    <w:rsid w:val="00BB74AB"/>
    <w:rsid w:val="00BC289A"/>
    <w:rsid w:val="00BC5DE9"/>
    <w:rsid w:val="00BC725F"/>
    <w:rsid w:val="00BE26FD"/>
    <w:rsid w:val="00BE46C8"/>
    <w:rsid w:val="00BE4941"/>
    <w:rsid w:val="00BE7F5B"/>
    <w:rsid w:val="00BF5690"/>
    <w:rsid w:val="00C0740C"/>
    <w:rsid w:val="00C12BC5"/>
    <w:rsid w:val="00C14CD0"/>
    <w:rsid w:val="00C36E40"/>
    <w:rsid w:val="00C41E5B"/>
    <w:rsid w:val="00C44130"/>
    <w:rsid w:val="00C45E5F"/>
    <w:rsid w:val="00C504D8"/>
    <w:rsid w:val="00C52DAF"/>
    <w:rsid w:val="00C571EC"/>
    <w:rsid w:val="00C57936"/>
    <w:rsid w:val="00C57D8C"/>
    <w:rsid w:val="00C62541"/>
    <w:rsid w:val="00C91018"/>
    <w:rsid w:val="00CA0996"/>
    <w:rsid w:val="00CB06B9"/>
    <w:rsid w:val="00CB1010"/>
    <w:rsid w:val="00CB1465"/>
    <w:rsid w:val="00CB2ED6"/>
    <w:rsid w:val="00CB5BFE"/>
    <w:rsid w:val="00CC236E"/>
    <w:rsid w:val="00CC248D"/>
    <w:rsid w:val="00CC37C8"/>
    <w:rsid w:val="00CE0A82"/>
    <w:rsid w:val="00CF2EC8"/>
    <w:rsid w:val="00D00AC3"/>
    <w:rsid w:val="00D10E34"/>
    <w:rsid w:val="00D11AC4"/>
    <w:rsid w:val="00D151B8"/>
    <w:rsid w:val="00D230F7"/>
    <w:rsid w:val="00D24832"/>
    <w:rsid w:val="00D2582D"/>
    <w:rsid w:val="00D34319"/>
    <w:rsid w:val="00D3505A"/>
    <w:rsid w:val="00D47183"/>
    <w:rsid w:val="00D51B87"/>
    <w:rsid w:val="00D55FDB"/>
    <w:rsid w:val="00D61612"/>
    <w:rsid w:val="00D62B7F"/>
    <w:rsid w:val="00D63D2C"/>
    <w:rsid w:val="00D64DBB"/>
    <w:rsid w:val="00D67691"/>
    <w:rsid w:val="00D7211E"/>
    <w:rsid w:val="00D721B4"/>
    <w:rsid w:val="00D87492"/>
    <w:rsid w:val="00D966EB"/>
    <w:rsid w:val="00DB0427"/>
    <w:rsid w:val="00DB521F"/>
    <w:rsid w:val="00DB70B9"/>
    <w:rsid w:val="00DC48CC"/>
    <w:rsid w:val="00DC5DEF"/>
    <w:rsid w:val="00DD2425"/>
    <w:rsid w:val="00DE0B56"/>
    <w:rsid w:val="00DE20EF"/>
    <w:rsid w:val="00DE3936"/>
    <w:rsid w:val="00DF6992"/>
    <w:rsid w:val="00E04C91"/>
    <w:rsid w:val="00E15AFB"/>
    <w:rsid w:val="00E21306"/>
    <w:rsid w:val="00E21A07"/>
    <w:rsid w:val="00E24E8E"/>
    <w:rsid w:val="00E270BB"/>
    <w:rsid w:val="00E46C73"/>
    <w:rsid w:val="00E50C2A"/>
    <w:rsid w:val="00E60BE6"/>
    <w:rsid w:val="00E66858"/>
    <w:rsid w:val="00E93119"/>
    <w:rsid w:val="00EC375F"/>
    <w:rsid w:val="00ED7F29"/>
    <w:rsid w:val="00EF169A"/>
    <w:rsid w:val="00F2026C"/>
    <w:rsid w:val="00F221D9"/>
    <w:rsid w:val="00F23BDB"/>
    <w:rsid w:val="00F273DD"/>
    <w:rsid w:val="00F400E0"/>
    <w:rsid w:val="00F427A5"/>
    <w:rsid w:val="00F45DDF"/>
    <w:rsid w:val="00F56086"/>
    <w:rsid w:val="00F614DA"/>
    <w:rsid w:val="00F61CFE"/>
    <w:rsid w:val="00F774BE"/>
    <w:rsid w:val="00FA1899"/>
    <w:rsid w:val="00FB4BF2"/>
    <w:rsid w:val="00FB65A5"/>
    <w:rsid w:val="00FC5DBA"/>
    <w:rsid w:val="00FD1191"/>
    <w:rsid w:val="00FD3BDD"/>
    <w:rsid w:val="00FE27FD"/>
    <w:rsid w:val="00FF4D8F"/>
    <w:rsid w:val="2450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uiPriority w:val="99"/>
    <w:rPr>
      <w:sz w:val="16"/>
      <w:szCs w:val="16"/>
    </w:rPr>
  </w:style>
  <w:style w:type="character" w:styleId="6">
    <w:name w:val="HTML Cite"/>
    <w:basedOn w:val="3"/>
    <w:semiHidden/>
    <w:unhideWhenUsed/>
    <w:uiPriority w:val="99"/>
    <w:rPr>
      <w:i/>
      <w:iCs/>
    </w:rPr>
  </w:style>
  <w:style w:type="character" w:styleId="7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FollowedHyperlink"/>
    <w:basedOn w:val="3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9">
    <w:name w:val="annotation subject"/>
    <w:basedOn w:val="10"/>
    <w:next w:val="10"/>
    <w:link w:val="25"/>
    <w:semiHidden/>
    <w:unhideWhenUsed/>
    <w:uiPriority w:val="99"/>
    <w:rPr>
      <w:b/>
      <w:bCs/>
    </w:rPr>
  </w:style>
  <w:style w:type="paragraph" w:styleId="10">
    <w:name w:val="annotation text"/>
    <w:basedOn w:val="1"/>
    <w:link w:val="24"/>
    <w:semiHidden/>
    <w:unhideWhenUsed/>
    <w:uiPriority w:val="99"/>
  </w:style>
  <w:style w:type="paragraph" w:styleId="11">
    <w:name w:val="Balloon Text"/>
    <w:basedOn w:val="1"/>
    <w:link w:val="2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12">
    <w:name w:val="header"/>
    <w:basedOn w:val="1"/>
    <w:link w:val="18"/>
    <w:unhideWhenUsed/>
    <w:uiPriority w:val="99"/>
    <w:pPr>
      <w:tabs>
        <w:tab w:val="center" w:pos="4419"/>
        <w:tab w:val="right" w:pos="8838"/>
      </w:tabs>
    </w:pPr>
  </w:style>
  <w:style w:type="paragraph" w:styleId="13">
    <w:name w:val="List Bullet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14">
    <w:name w:val="footer"/>
    <w:basedOn w:val="1"/>
    <w:link w:val="19"/>
    <w:unhideWhenUsed/>
    <w:uiPriority w:val="0"/>
    <w:pPr>
      <w:tabs>
        <w:tab w:val="center" w:pos="4419"/>
        <w:tab w:val="right" w:pos="8838"/>
      </w:tabs>
    </w:pPr>
  </w:style>
  <w:style w:type="paragraph" w:styleId="15">
    <w:name w:val="Salutation"/>
    <w:basedOn w:val="1"/>
    <w:next w:val="1"/>
    <w:link w:val="22"/>
    <w:unhideWhenUsed/>
    <w:uiPriority w:val="99"/>
  </w:style>
  <w:style w:type="paragraph" w:styleId="16">
    <w:name w:val="Body Text"/>
    <w:basedOn w:val="1"/>
    <w:link w:val="23"/>
    <w:unhideWhenUsed/>
    <w:uiPriority w:val="99"/>
    <w:pPr>
      <w:spacing w:after="120"/>
    </w:pPr>
  </w:style>
  <w:style w:type="table" w:styleId="17">
    <w:name w:val="Table Grid"/>
    <w:basedOn w:val="4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s-MX"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Encabezado Car"/>
    <w:basedOn w:val="3"/>
    <w:link w:val="12"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9">
    <w:name w:val="Pie de página Car"/>
    <w:basedOn w:val="3"/>
    <w:link w:val="14"/>
    <w:uiPriority w:val="99"/>
    <w:rPr>
      <w:rFonts w:ascii="Times New Roman" w:hAnsi="Times New Roman" w:eastAsia="Times New Roman" w:cs="Times New Roman"/>
      <w:sz w:val="20"/>
      <w:szCs w:val="20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Título 1 Car"/>
    <w:basedOn w:val="3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22">
    <w:name w:val="Saludo Car"/>
    <w:basedOn w:val="3"/>
    <w:link w:val="15"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23">
    <w:name w:val="Texto independiente Car"/>
    <w:basedOn w:val="3"/>
    <w:link w:val="16"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24">
    <w:name w:val="Texto comentario Car"/>
    <w:basedOn w:val="3"/>
    <w:link w:val="10"/>
    <w:semiHidden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25">
    <w:name w:val="Asunto del comentario Car"/>
    <w:basedOn w:val="24"/>
    <w:link w:val="9"/>
    <w:semiHidden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26">
    <w:name w:val="Mención sin resolver1"/>
    <w:basedOn w:val="3"/>
    <w:semiHidden/>
    <w:unhideWhenUsed/>
    <w:uiPriority w:val="99"/>
    <w:rPr>
      <w:color w:val="605E5C"/>
      <w:shd w:val="clear" w:color="auto" w:fill="E1DFDD"/>
    </w:rPr>
  </w:style>
  <w:style w:type="character" w:customStyle="1" w:styleId="27">
    <w:name w:val="Texto de globo Car"/>
    <w:basedOn w:val="3"/>
    <w:link w:val="11"/>
    <w:semiHidden/>
    <w:uiPriority w:val="99"/>
    <w:rPr>
      <w:rFonts w:ascii="Segoe UI" w:hAnsi="Segoe UI" w:eastAsia="Times New Roman" w:cs="Segoe UI"/>
      <w:sz w:val="18"/>
      <w:szCs w:val="18"/>
    </w:rPr>
  </w:style>
  <w:style w:type="paragraph" w:customStyle="1" w:styleId="28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character" w:customStyle="1" w:styleId="29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11</Pages>
  <Words>2212</Words>
  <Characters>12172</Characters>
  <Lines>101</Lines>
  <Paragraphs>28</Paragraphs>
  <TotalTime>4</TotalTime>
  <ScaleCrop>false</ScaleCrop>
  <LinksUpToDate>false</LinksUpToDate>
  <CharactersWithSpaces>14356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2023-12-04T20:31:00Z</dcterms:created>
  <dc:creator>vlara2</dc:creator>
  <cp:lastModifiedBy>mmedina</cp:lastModifiedBy>
  <cp:lastPrinted>2022-08-08T15:37:00Z</cp:lastPrinted>
  <dcterms:modified xsi:type="dcterms:W3CDTF">2023-12-08T19:55:23Z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2058-12.2.0.13306</vt:lpwstr>
  </property>
  <property fmtid="{D5CDD505-2E9C-101B-9397-08002B2CF9AE}" pid="3" name="ICV">
    <vt:lpwstr>F4E3FAE4266B4CC3B0A9590E9C815347_13</vt:lpwstr>
  </property>
</Properties>
</file>